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color w:val="1A1A1A"/>
          <w:sz w:val="48"/>
        </w:rPr>
        <w:t>Diabetes Research Hub</w:t>
      </w:r>
    </w:p>
    <w:p>
      <w:r>
        <w:rPr>
          <w:rFonts w:ascii="Georgia" w:hAnsi="Georgia"/>
          <w:i/>
          <w:color w:val="636363"/>
          <w:sz w:val="32"/>
        </w:rPr>
        <w:t>Weekly Platform Audit Report</w:t>
      </w:r>
    </w:p>
    <w:p>
      <w:r>
        <w:rPr>
          <w:color w:val="636363"/>
          <w:sz w:val="22"/>
        </w:rPr>
        <w:t>May 31, 2026 — One week after the May 24 audit</w:t>
      </w:r>
    </w:p>
    <w:p/>
    <w:p>
      <w:pPr>
        <w:pStyle w:val="Heading1"/>
      </w:pPr>
      <w:r>
        <w:rPr>
          <w:rFonts w:ascii="Georgia" w:hAnsi="Georgia"/>
          <w:color w:val="1A1A1A"/>
        </w:rPr>
        <w:t>Executive Summary</w:t>
      </w:r>
    </w:p>
    <w:p>
      <w:r>
        <w:t>This audit covers the Diabetes Research Hub on May 31, 2026. The platform consists of 34 dashboards in the working copy under Dashboards/, a Tufte-styled landing page at docs/index.html dated 2026-05-31, and 41 build scripts under Analysis/Scripts/ orchestrated by run_quality_improvements.py.</w:t>
      </w:r>
    </w:p>
    <w:p>
      <w:r>
        <w:t>Direction of travel this week is mixed. The good news: last week's HIGH-priority add_citations.py IndentationError has been resolved — the master runner now exits all-green with all 41 scripts passing. The bad news: a much larger deployment problem has come into focus. The docs/Dashboards/ mirror that serves the GitHub Pages site is not just missing one file — every dashboard in it is stale, dated March 29, 2026. None of the navigation, back-links, ARIA work, or PMID hyperlinks added by postprocess_dashboards.py over the past two months has reached the deployed site. What the May 24 audit framed as a one-line cp fix is in fact a wholesale deploy-step regression.</w:t>
      </w:r>
    </w:p>
    <w:p>
      <w:r>
        <w:t>Three carryovers persist unchanged: the seven sentence-as-PMID hrefs in Drug_Repurposing_Islet.html, the JavaScript template-literal leak in Generic_Drug_Catalog.html, and the hardcoded 'Generated 2025' footer in GKA_Landscape.html. Trial-count drift has widened, not narrowed: the landing page incremented from 797 to 804 this week, while Clinical_Trial_Dashboard prose ('748+'), Gap_Deep_Dives ('746-trial database'), and the social-media post drafts ('746') did not move. The audit task description itself still references 746, which is now four weeks stale.</w:t>
      </w:r>
    </w:p>
    <w:p>
      <w:r>
        <w:t>Net assessment: working-copy quality is the strongest it has been in any audit cycle to date — every dashboard carries nav, back-link, and adequate ARIA, and the master pipeline is green for the first time since May 17. But none of that quality is reaching users. One new HIGH (docs/Dashboards/ mirror entirely stale), one HIGH carryover (Islet_Drug_Repurposing missing from mirror — now in its 4th audit cycle), four MEDIUM, six LOW.</w:t>
      </w:r>
    </w:p>
    <w:p>
      <w:pPr>
        <w:pStyle w:val="Heading2"/>
      </w:pPr>
      <w:r>
        <w:rPr>
          <w:rFonts w:ascii="Georgia" w:hAnsi="Georgia"/>
          <w:color w:val="1A1A1A"/>
        </w:rPr>
        <w:t>Summary metrics</w:t>
      </w:r>
    </w:p>
    <w:tbl>
      <w:tblPr>
        <w:tblStyle w:val="LightGrid-Accent1"/>
        <w:tblW w:type="auto" w:w="0"/>
        <w:tblLook w:firstColumn="1" w:firstRow="1" w:lastColumn="0" w:lastRow="0" w:noHBand="0" w:noVBand="1" w:val="04A0"/>
      </w:tblPr>
      <w:tblGrid>
        <w:gridCol w:w="4680"/>
        <w:gridCol w:w="4680"/>
      </w:tblGrid>
      <w:tr>
        <w:tc>
          <w:tcPr>
            <w:tcW w:type="dxa" w:w="4680"/>
          </w:tcPr>
          <w:p>
            <w:r>
              <w:t>Active dashboards (working copy)</w:t>
            </w:r>
          </w:p>
        </w:tc>
        <w:tc>
          <w:tcPr>
            <w:tcW w:type="dxa" w:w="4680"/>
          </w:tcPr>
          <w:p>
            <w:r>
              <w:t>34</w:t>
            </w:r>
          </w:p>
        </w:tc>
      </w:tr>
      <w:tr>
        <w:tc>
          <w:tcPr>
            <w:tcW w:type="dxa" w:w="4680"/>
          </w:tcPr>
          <w:p>
            <w:r>
              <w:t>Dashboards in deployed mirror (docs/Dashboards/)</w:t>
            </w:r>
          </w:p>
        </w:tc>
        <w:tc>
          <w:tcPr>
            <w:tcW w:type="dxa" w:w="4680"/>
          </w:tcPr>
          <w:p>
            <w:r>
              <w:t>33 (1 missing)</w:t>
            </w:r>
          </w:p>
        </w:tc>
      </w:tr>
      <w:tr>
        <w:tc>
          <w:tcPr>
            <w:tcW w:type="dxa" w:w="4680"/>
          </w:tcPr>
          <w:p>
            <w:r>
              <w:t>Mirror staleness</w:t>
            </w:r>
          </w:p>
        </w:tc>
        <w:tc>
          <w:tcPr>
            <w:tcW w:type="dxa" w:w="4680"/>
          </w:tcPr>
          <w:p>
            <w:r>
              <w:t>All 33 dated 2026-03-29 (~9 weeks stale)</w:t>
            </w:r>
          </w:p>
        </w:tc>
      </w:tr>
      <w:tr>
        <w:tc>
          <w:tcPr>
            <w:tcW w:type="dxa" w:w="4680"/>
          </w:tcPr>
          <w:p>
            <w:r>
              <w:t>Build scripts in master runner</w:t>
            </w:r>
          </w:p>
        </w:tc>
        <w:tc>
          <w:tcPr>
            <w:tcW w:type="dxa" w:w="4680"/>
          </w:tcPr>
          <w:p>
            <w:r>
              <w:t>41 (all passing this cycle)</w:t>
            </w:r>
          </w:p>
        </w:tc>
      </w:tr>
      <w:tr>
        <w:tc>
          <w:tcPr>
            <w:tcW w:type="dxa" w:w="4680"/>
          </w:tcPr>
          <w:p>
            <w:r>
              <w:t>Unique PMIDs across platform</w:t>
            </w:r>
          </w:p>
        </w:tc>
        <w:tc>
          <w:tcPr>
            <w:tcW w:type="dxa" w:w="4680"/>
          </w:tcPr>
          <w:p>
            <w:r>
              <w:t>186</w:t>
            </w:r>
          </w:p>
        </w:tc>
      </w:tr>
      <w:tr>
        <w:tc>
          <w:tcPr>
            <w:tcW w:type="dxa" w:w="4680"/>
          </w:tcPr>
          <w:p>
            <w:r>
              <w:t>Total &lt;th&gt; elements / with scope attribute</w:t>
            </w:r>
          </w:p>
        </w:tc>
        <w:tc>
          <w:tcPr>
            <w:tcW w:type="dxa" w:w="4680"/>
          </w:tcPr>
          <w:p>
            <w:r>
              <w:t>465 / 0</w:t>
            </w:r>
          </w:p>
        </w:tc>
      </w:tr>
      <w:tr>
        <w:tc>
          <w:tcPr>
            <w:tcW w:type="dxa" w:w="4680"/>
          </w:tcPr>
          <w:p>
            <w:r>
              <w:t>Findings: HIGH / MEDIUM / LOW</w:t>
            </w:r>
          </w:p>
        </w:tc>
        <w:tc>
          <w:tcPr>
            <w:tcW w:type="dxa" w:w="4680"/>
          </w:tcPr>
          <w:p>
            <w:r>
              <w:t>2 / 4 / 6</w:t>
            </w:r>
          </w:p>
        </w:tc>
      </w:tr>
      <w:tr>
        <w:tc>
          <w:tcPr>
            <w:tcW w:type="dxa" w:w="4680"/>
          </w:tcPr>
          <w:p>
            <w:r>
              <w:t>Change vs. May 24</w:t>
            </w:r>
          </w:p>
        </w:tc>
        <w:tc>
          <w:tcPr>
            <w:tcW w:type="dxa" w:w="4680"/>
          </w:tcPr>
          <w:p>
            <w:r>
              <w:t>+1 HIGH (new), 0 HIGH closed; +1 MEDIUM; -0 LOW</w:t>
            </w:r>
          </w:p>
        </w:tc>
      </w:tr>
    </w:tbl>
    <w:p/>
    <w:p>
      <w:r>
        <w:rPr>
          <w:b w:val="0"/>
          <w:i/>
          <w:sz w:val="20"/>
        </w:rPr>
        <w:t>Comparison to Previous Audit (May 24, 2026). Last week's audit logged 1 new HIGH (add_citations.py IndentationError, now closed), 1 HIGH carryover (Islet_Drug_Repurposing missing from docs/Dashboards/, still open and now in its 4th cycle), 3 MEDIUM, and 6 LOW. This week the headline change is that the mirror gap is broader than previously thought — the mirror is not one dashboard short, it is two months out of date entirely.</w:t>
      </w:r>
    </w:p>
    <w:p>
      <w:r>
        <w:br w:type="page"/>
      </w:r>
    </w:p>
    <w:p>
      <w:pPr>
        <w:pStyle w:val="Heading1"/>
      </w:pPr>
      <w:r>
        <w:rPr>
          <w:rFonts w:ascii="Georgia" w:hAnsi="Georgia"/>
          <w:color w:val="1A1A1A"/>
        </w:rPr>
        <w:t>Dashboard-by-Dashboard Status</w:t>
      </w:r>
    </w:p>
    <w:p>
      <w:r>
        <w:rPr>
          <w:b w:val="0"/>
          <w:i/>
          <w:sz w:val="20"/>
        </w:rPr>
        <w:t>All 34 active dashboards in the working copy, sorted alphabetically. PMIDs is the count of unique numeric PubMed IDs visible to static scan (text-form PMIDs and href-form pubmed URLs). Nav and Back are presence checks against the post-processed working copy — note that none of this is visible on the deployed mirror, which still serves the March 29 versions. The Priority column reflects the highest-severity item raised on that dashboard.</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E8E5DC"/>
          </w:tcPr>
          <w:p>
            <w:r>
              <w:rPr>
                <w:b/>
                <w:sz w:val="18"/>
              </w:rPr>
              <w:t>Dashboard</w:t>
            </w:r>
          </w:p>
        </w:tc>
        <w:tc>
          <w:tcPr>
            <w:tcW w:type="dxa" w:w="1337"/>
            <w:shd w:val="clear" w:color="auto" w:fill="E8E5DC"/>
          </w:tcPr>
          <w:p>
            <w:r>
              <w:rPr>
                <w:b/>
                <w:sz w:val="18"/>
              </w:rPr>
              <w:t>KB</w:t>
            </w:r>
          </w:p>
        </w:tc>
        <w:tc>
          <w:tcPr>
            <w:tcW w:type="dxa" w:w="1337"/>
            <w:shd w:val="clear" w:color="auto" w:fill="E8E5DC"/>
          </w:tcPr>
          <w:p>
            <w:r>
              <w:rPr>
                <w:b/>
                <w:sz w:val="18"/>
              </w:rPr>
              <w:t>PMIDs</w:t>
            </w:r>
          </w:p>
        </w:tc>
        <w:tc>
          <w:tcPr>
            <w:tcW w:type="dxa" w:w="1337"/>
            <w:shd w:val="clear" w:color="auto" w:fill="E8E5DC"/>
          </w:tcPr>
          <w:p>
            <w:r>
              <w:rPr>
                <w:b/>
                <w:sz w:val="18"/>
              </w:rPr>
              <w:t>Nav</w:t>
            </w:r>
          </w:p>
        </w:tc>
        <w:tc>
          <w:tcPr>
            <w:tcW w:type="dxa" w:w="1337"/>
            <w:shd w:val="clear" w:color="auto" w:fill="E8E5DC"/>
          </w:tcPr>
          <w:p>
            <w:r>
              <w:rPr>
                <w:b/>
                <w:sz w:val="18"/>
              </w:rPr>
              <w:t>Back</w:t>
            </w:r>
          </w:p>
        </w:tc>
        <w:tc>
          <w:tcPr>
            <w:tcW w:type="dxa" w:w="1337"/>
            <w:shd w:val="clear" w:color="auto" w:fill="E8E5DC"/>
          </w:tcPr>
          <w:p>
            <w:r>
              <w:rPr>
                <w:b/>
                <w:sz w:val="18"/>
              </w:rPr>
              <w:t>Pri</w:t>
            </w:r>
          </w:p>
        </w:tc>
        <w:tc>
          <w:tcPr>
            <w:tcW w:type="dxa" w:w="1337"/>
            <w:shd w:val="clear" w:color="auto" w:fill="E8E5DC"/>
          </w:tcPr>
          <w:p>
            <w:r>
              <w:rPr>
                <w:b/>
                <w:sz w:val="18"/>
              </w:rPr>
              <w:t>Issues</w:t>
            </w:r>
          </w:p>
        </w:tc>
      </w:tr>
      <w:tr>
        <w:tc>
          <w:tcPr>
            <w:tcW w:type="dxa" w:w="1337"/>
          </w:tcPr>
          <w:p>
            <w:r>
              <w:rPr>
                <w:sz w:val="17"/>
              </w:rPr>
              <w:t>Acronym_Database.html</w:t>
            </w:r>
          </w:p>
        </w:tc>
        <w:tc>
          <w:tcPr>
            <w:tcW w:type="dxa" w:w="1337"/>
          </w:tcPr>
          <w:p>
            <w:r>
              <w:rPr>
                <w:sz w:val="17"/>
              </w:rPr>
              <w:t>93</w:t>
            </w:r>
          </w:p>
        </w:tc>
        <w:tc>
          <w:tcPr>
            <w:tcW w:type="dxa" w:w="1337"/>
          </w:tcPr>
          <w:p>
            <w:r>
              <w:rPr>
                <w:sz w:val="17"/>
              </w:rPr>
              <w:t>0</w:t>
            </w:r>
          </w:p>
        </w:tc>
        <w:tc>
          <w:tcPr>
            <w:tcW w:type="dxa" w:w="1337"/>
          </w:tcPr>
          <w:p>
            <w:r>
              <w:rPr>
                <w:sz w:val="17"/>
              </w:rPr>
              <w:t>1</w:t>
            </w:r>
          </w:p>
        </w:tc>
        <w:tc>
          <w:tcPr>
            <w:tcW w:type="dxa" w:w="1337"/>
          </w:tcPr>
          <w:p>
            <w:r>
              <w:rPr>
                <w:sz w:val="17"/>
              </w:rPr>
              <w:t>1</w:t>
            </w:r>
          </w:p>
        </w:tc>
        <w:tc>
          <w:tcPr>
            <w:tcW w:type="dxa" w:w="1337"/>
            <w:shd w:val="clear" w:color="auto" w:fill="F5E1B8"/>
          </w:tcPr>
          <w:p>
            <w:r>
              <w:rPr>
                <w:sz w:val="17"/>
              </w:rPr>
              <w:t>MED</w:t>
            </w:r>
          </w:p>
        </w:tc>
        <w:tc>
          <w:tcPr>
            <w:tcW w:type="dxa" w:w="1337"/>
          </w:tcPr>
          <w:p>
            <w:r>
              <w:rPr>
                <w:sz w:val="17"/>
              </w:rPr>
              <w:t>0 PMIDs (intentional — reference dashboard)</w:t>
            </w:r>
          </w:p>
        </w:tc>
      </w:tr>
      <w:tr>
        <w:tc>
          <w:tcPr>
            <w:tcW w:type="dxa" w:w="1337"/>
          </w:tcPr>
          <w:p>
            <w:r>
              <w:rPr>
                <w:sz w:val="17"/>
              </w:rPr>
              <w:t>CART_Access_Barriers.html</w:t>
            </w:r>
          </w:p>
        </w:tc>
        <w:tc>
          <w:tcPr>
            <w:tcW w:type="dxa" w:w="1337"/>
          </w:tcPr>
          <w:p>
            <w:r>
              <w:rPr>
                <w:sz w:val="17"/>
              </w:rPr>
              <w:t>85</w:t>
            </w:r>
          </w:p>
        </w:tc>
        <w:tc>
          <w:tcPr>
            <w:tcW w:type="dxa" w:w="1337"/>
          </w:tcPr>
          <w:p>
            <w:r>
              <w:rPr>
                <w:sz w:val="17"/>
              </w:rPr>
              <w:t>13</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Clinical_Trial_Dashboard.html</w:t>
            </w:r>
          </w:p>
        </w:tc>
        <w:tc>
          <w:tcPr>
            <w:tcW w:type="dxa" w:w="1337"/>
          </w:tcPr>
          <w:p>
            <w:r>
              <w:rPr>
                <w:sz w:val="17"/>
              </w:rPr>
              <w:t>445</w:t>
            </w:r>
          </w:p>
        </w:tc>
        <w:tc>
          <w:tcPr>
            <w:tcW w:type="dxa" w:w="1337"/>
          </w:tcPr>
          <w:p>
            <w:r>
              <w:rPr>
                <w:sz w:val="17"/>
              </w:rPr>
              <w:t>4</w:t>
            </w:r>
          </w:p>
        </w:tc>
        <w:tc>
          <w:tcPr>
            <w:tcW w:type="dxa" w:w="1337"/>
          </w:tcPr>
          <w:p>
            <w:r>
              <w:rPr>
                <w:sz w:val="17"/>
              </w:rPr>
              <w:t>1</w:t>
            </w:r>
          </w:p>
        </w:tc>
        <w:tc>
          <w:tcPr>
            <w:tcW w:type="dxa" w:w="1337"/>
          </w:tcPr>
          <w:p>
            <w:r>
              <w:rPr>
                <w:sz w:val="17"/>
              </w:rPr>
              <w:t>1</w:t>
            </w:r>
          </w:p>
        </w:tc>
        <w:tc>
          <w:tcPr>
            <w:tcW w:type="dxa" w:w="1337"/>
            <w:shd w:val="clear" w:color="auto" w:fill="F5E1B8"/>
          </w:tcPr>
          <w:p>
            <w:r>
              <w:rPr>
                <w:sz w:val="17"/>
              </w:rPr>
              <w:t>MED</w:t>
            </w:r>
          </w:p>
        </w:tc>
        <w:tc>
          <w:tcPr>
            <w:tcW w:type="dxa" w:w="1337"/>
          </w:tcPr>
          <w:p>
            <w:r>
              <w:rPr>
                <w:sz w:val="17"/>
              </w:rPr>
              <w:t>Stale prose: '748+ diabetes clinical trials'</w:t>
            </w:r>
          </w:p>
        </w:tc>
      </w:tr>
      <w:tr>
        <w:tc>
          <w:tcPr>
            <w:tcW w:type="dxa" w:w="1337"/>
          </w:tcPr>
          <w:p>
            <w:r>
              <w:rPr>
                <w:sz w:val="17"/>
              </w:rPr>
              <w:t>Corpus_Analysis.html</w:t>
            </w:r>
          </w:p>
        </w:tc>
        <w:tc>
          <w:tcPr>
            <w:tcW w:type="dxa" w:w="1337"/>
          </w:tcPr>
          <w:p>
            <w:r>
              <w:rPr>
                <w:sz w:val="17"/>
              </w:rPr>
              <w:t>82</w:t>
            </w:r>
          </w:p>
        </w:tc>
        <w:tc>
          <w:tcPr>
            <w:tcW w:type="dxa" w:w="1337"/>
          </w:tcPr>
          <w:p>
            <w:r>
              <w:rPr>
                <w:sz w:val="17"/>
              </w:rPr>
              <w:t>5</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Drug_Repurposing_Islet.html</w:t>
            </w:r>
          </w:p>
        </w:tc>
        <w:tc>
          <w:tcPr>
            <w:tcW w:type="dxa" w:w="1337"/>
          </w:tcPr>
          <w:p>
            <w:r>
              <w:rPr>
                <w:sz w:val="17"/>
              </w:rPr>
              <w:t>59</w:t>
            </w:r>
          </w:p>
        </w:tc>
        <w:tc>
          <w:tcPr>
            <w:tcW w:type="dxa" w:w="1337"/>
          </w:tcPr>
          <w:p>
            <w:r>
              <w:rPr>
                <w:sz w:val="17"/>
              </w:rPr>
              <w:t>9</w:t>
            </w:r>
          </w:p>
        </w:tc>
        <w:tc>
          <w:tcPr>
            <w:tcW w:type="dxa" w:w="1337"/>
          </w:tcPr>
          <w:p>
            <w:r>
              <w:rPr>
                <w:sz w:val="17"/>
              </w:rPr>
              <w:t>1</w:t>
            </w:r>
          </w:p>
        </w:tc>
        <w:tc>
          <w:tcPr>
            <w:tcW w:type="dxa" w:w="1337"/>
          </w:tcPr>
          <w:p>
            <w:r>
              <w:rPr>
                <w:sz w:val="17"/>
              </w:rPr>
              <w:t>1</w:t>
            </w:r>
          </w:p>
        </w:tc>
        <w:tc>
          <w:tcPr>
            <w:tcW w:type="dxa" w:w="1337"/>
            <w:shd w:val="clear" w:color="auto" w:fill="F5E1B8"/>
          </w:tcPr>
          <w:p>
            <w:r>
              <w:rPr>
                <w:sz w:val="17"/>
              </w:rPr>
              <w:t>MED</w:t>
            </w:r>
          </w:p>
        </w:tc>
        <w:tc>
          <w:tcPr>
            <w:tcW w:type="dxa" w:w="1337"/>
          </w:tcPr>
          <w:p>
            <w:r>
              <w:rPr>
                <w:sz w:val="17"/>
              </w:rPr>
              <w:t>7 sentence-as-PMID hrefs (carryover, 4th cycle)</w:t>
            </w:r>
          </w:p>
        </w:tc>
      </w:tr>
      <w:tr>
        <w:tc>
          <w:tcPr>
            <w:tcW w:type="dxa" w:w="1337"/>
          </w:tcPr>
          <w:p>
            <w:r>
              <w:rPr>
                <w:sz w:val="17"/>
              </w:rPr>
              <w:t>Drug_Repurposing_Screen.html</w:t>
            </w:r>
          </w:p>
        </w:tc>
        <w:tc>
          <w:tcPr>
            <w:tcW w:type="dxa" w:w="1337"/>
          </w:tcPr>
          <w:p>
            <w:r>
              <w:rPr>
                <w:sz w:val="17"/>
              </w:rPr>
              <w:t>119</w:t>
            </w:r>
          </w:p>
        </w:tc>
        <w:tc>
          <w:tcPr>
            <w:tcW w:type="dxa" w:w="1337"/>
          </w:tcPr>
          <w:p>
            <w:r>
              <w:rPr>
                <w:sz w:val="17"/>
              </w:rPr>
              <w:t>8</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Equity_Map.html</w:t>
            </w:r>
          </w:p>
        </w:tc>
        <w:tc>
          <w:tcPr>
            <w:tcW w:type="dxa" w:w="1337"/>
          </w:tcPr>
          <w:p>
            <w:r>
              <w:rPr>
                <w:sz w:val="17"/>
              </w:rPr>
              <w:t>81</w:t>
            </w:r>
          </w:p>
        </w:tc>
        <w:tc>
          <w:tcPr>
            <w:tcW w:type="dxa" w:w="1337"/>
          </w:tcPr>
          <w:p>
            <w:r>
              <w:rPr>
                <w:sz w:val="17"/>
              </w:rPr>
              <w:t>9</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Extracted_Evidence.html</w:t>
            </w:r>
          </w:p>
        </w:tc>
        <w:tc>
          <w:tcPr>
            <w:tcW w:type="dxa" w:w="1337"/>
          </w:tcPr>
          <w:p>
            <w:r>
              <w:rPr>
                <w:sz w:val="17"/>
              </w:rPr>
              <w:t>133</w:t>
            </w:r>
          </w:p>
        </w:tc>
        <w:tc>
          <w:tcPr>
            <w:tcW w:type="dxa" w:w="1337"/>
          </w:tcPr>
          <w:p>
            <w:r>
              <w:rPr>
                <w:sz w:val="17"/>
              </w:rPr>
              <w:t>53</w:t>
            </w:r>
          </w:p>
        </w:tc>
        <w:tc>
          <w:tcPr>
            <w:tcW w:type="dxa" w:w="1337"/>
          </w:tcPr>
          <w:p>
            <w:r>
              <w:rPr>
                <w:sz w:val="17"/>
              </w:rPr>
              <w:t>1</w:t>
            </w:r>
          </w:p>
        </w:tc>
        <w:tc>
          <w:tcPr>
            <w:tcW w:type="dxa" w:w="1337"/>
          </w:tcPr>
          <w:p>
            <w:r>
              <w:rPr>
                <w:sz w:val="17"/>
              </w:rPr>
              <w:t>1</w:t>
            </w:r>
          </w:p>
        </w:tc>
        <w:tc>
          <w:tcPr>
            <w:tcW w:type="dxa" w:w="1337"/>
            <w:shd w:val="clear" w:color="auto" w:fill="F5F0D8"/>
          </w:tcPr>
          <w:p>
            <w:r>
              <w:rPr>
                <w:sz w:val="17"/>
              </w:rPr>
              <w:t>LOW</w:t>
            </w:r>
          </w:p>
        </w:tc>
        <w:tc>
          <w:tcPr>
            <w:tcW w:type="dxa" w:w="1337"/>
          </w:tcPr>
          <w:p>
            <w:r>
              <w:rPr>
                <w:sz w:val="17"/>
              </w:rPr>
              <w:t>12 of 15 tables emitted without &lt;thead&gt;</w:t>
            </w:r>
          </w:p>
        </w:tc>
      </w:tr>
      <w:tr>
        <w:tc>
          <w:tcPr>
            <w:tcW w:type="dxa" w:w="1337"/>
          </w:tcPr>
          <w:p>
            <w:r>
              <w:rPr>
                <w:sz w:val="17"/>
              </w:rPr>
              <w:t>GKA_LADA.html</w:t>
            </w:r>
          </w:p>
        </w:tc>
        <w:tc>
          <w:tcPr>
            <w:tcW w:type="dxa" w:w="1337"/>
          </w:tcPr>
          <w:p>
            <w:r>
              <w:rPr>
                <w:sz w:val="17"/>
              </w:rPr>
              <w:t>42</w:t>
            </w:r>
          </w:p>
        </w:tc>
        <w:tc>
          <w:tcPr>
            <w:tcW w:type="dxa" w:w="1337"/>
          </w:tcPr>
          <w:p>
            <w:r>
              <w:rPr>
                <w:sz w:val="17"/>
              </w:rPr>
              <w:t>13</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GKA_Landscape.html</w:t>
            </w:r>
          </w:p>
        </w:tc>
        <w:tc>
          <w:tcPr>
            <w:tcW w:type="dxa" w:w="1337"/>
          </w:tcPr>
          <w:p>
            <w:r>
              <w:rPr>
                <w:sz w:val="17"/>
              </w:rPr>
              <w:t>60</w:t>
            </w:r>
          </w:p>
        </w:tc>
        <w:tc>
          <w:tcPr>
            <w:tcW w:type="dxa" w:w="1337"/>
          </w:tcPr>
          <w:p>
            <w:r>
              <w:rPr>
                <w:sz w:val="17"/>
              </w:rPr>
              <w:t>8</w:t>
            </w:r>
          </w:p>
        </w:tc>
        <w:tc>
          <w:tcPr>
            <w:tcW w:type="dxa" w:w="1337"/>
          </w:tcPr>
          <w:p>
            <w:r>
              <w:rPr>
                <w:sz w:val="17"/>
              </w:rPr>
              <w:t>1</w:t>
            </w:r>
          </w:p>
        </w:tc>
        <w:tc>
          <w:tcPr>
            <w:tcW w:type="dxa" w:w="1337"/>
          </w:tcPr>
          <w:p>
            <w:r>
              <w:rPr>
                <w:sz w:val="17"/>
              </w:rPr>
              <w:t>1</w:t>
            </w:r>
          </w:p>
        </w:tc>
        <w:tc>
          <w:tcPr>
            <w:tcW w:type="dxa" w:w="1337"/>
            <w:shd w:val="clear" w:color="auto" w:fill="F5F0D8"/>
          </w:tcPr>
          <w:p>
            <w:r>
              <w:rPr>
                <w:sz w:val="17"/>
              </w:rPr>
              <w:t>LOW</w:t>
            </w:r>
          </w:p>
        </w:tc>
        <w:tc>
          <w:tcPr>
            <w:tcW w:type="dxa" w:w="1337"/>
          </w:tcPr>
          <w:p>
            <w:r>
              <w:rPr>
                <w:sz w:val="17"/>
              </w:rPr>
              <w:t>Footer 'Generated 2025' hardcoded (carryover)</w:t>
            </w:r>
          </w:p>
        </w:tc>
      </w:tr>
      <w:tr>
        <w:tc>
          <w:tcPr>
            <w:tcW w:type="dxa" w:w="1337"/>
          </w:tcPr>
          <w:p>
            <w:r>
              <w:rPr>
                <w:sz w:val="17"/>
              </w:rPr>
              <w:t>GKA_Pricing.html</w:t>
            </w:r>
          </w:p>
        </w:tc>
        <w:tc>
          <w:tcPr>
            <w:tcW w:type="dxa" w:w="1337"/>
          </w:tcPr>
          <w:p>
            <w:r>
              <w:rPr>
                <w:sz w:val="17"/>
              </w:rPr>
              <w:t>52</w:t>
            </w:r>
          </w:p>
        </w:tc>
        <w:tc>
          <w:tcPr>
            <w:tcW w:type="dxa" w:w="1337"/>
          </w:tcPr>
          <w:p>
            <w:r>
              <w:rPr>
                <w:sz w:val="17"/>
              </w:rPr>
              <w:t>12</w:t>
            </w:r>
          </w:p>
        </w:tc>
        <w:tc>
          <w:tcPr>
            <w:tcW w:type="dxa" w:w="1337"/>
          </w:tcPr>
          <w:p>
            <w:r>
              <w:rPr>
                <w:sz w:val="17"/>
              </w:rPr>
              <w:t>1</w:t>
            </w:r>
          </w:p>
        </w:tc>
        <w:tc>
          <w:tcPr>
            <w:tcW w:type="dxa" w:w="1337"/>
          </w:tcPr>
          <w:p>
            <w:r>
              <w:rPr>
                <w:sz w:val="17"/>
              </w:rPr>
              <w:t>1</w:t>
            </w:r>
          </w:p>
        </w:tc>
        <w:tc>
          <w:tcPr>
            <w:tcW w:type="dxa" w:w="1337"/>
            <w:shd w:val="clear" w:color="auto" w:fill="F5F0D8"/>
          </w:tcPr>
          <w:p>
            <w:r>
              <w:rPr>
                <w:sz w:val="17"/>
              </w:rPr>
              <w:t>LOW</w:t>
            </w:r>
          </w:p>
        </w:tc>
        <w:tc>
          <w:tcPr>
            <w:tcW w:type="dxa" w:w="1337"/>
          </w:tcPr>
          <w:p>
            <w:r>
              <w:rPr>
                <w:sz w:val="17"/>
              </w:rPr>
              <w:t>4 of 4 tables emitted without &lt;thead&gt;</w:t>
            </w:r>
          </w:p>
        </w:tc>
      </w:tr>
      <w:tr>
        <w:tc>
          <w:tcPr>
            <w:tcW w:type="dxa" w:w="1337"/>
          </w:tcPr>
          <w:p>
            <w:r>
              <w:rPr>
                <w:sz w:val="17"/>
              </w:rPr>
              <w:t>Gap_Deep_Dives.html</w:t>
            </w:r>
          </w:p>
        </w:tc>
        <w:tc>
          <w:tcPr>
            <w:tcW w:type="dxa" w:w="1337"/>
          </w:tcPr>
          <w:p>
            <w:r>
              <w:rPr>
                <w:sz w:val="17"/>
              </w:rPr>
              <w:t>218</w:t>
            </w:r>
          </w:p>
        </w:tc>
        <w:tc>
          <w:tcPr>
            <w:tcW w:type="dxa" w:w="1337"/>
          </w:tcPr>
          <w:p>
            <w:r>
              <w:rPr>
                <w:sz w:val="17"/>
              </w:rPr>
              <w:t>20</w:t>
            </w:r>
          </w:p>
        </w:tc>
        <w:tc>
          <w:tcPr>
            <w:tcW w:type="dxa" w:w="1337"/>
          </w:tcPr>
          <w:p>
            <w:r>
              <w:rPr>
                <w:sz w:val="17"/>
              </w:rPr>
              <w:t>1</w:t>
            </w:r>
          </w:p>
        </w:tc>
        <w:tc>
          <w:tcPr>
            <w:tcW w:type="dxa" w:w="1337"/>
          </w:tcPr>
          <w:p>
            <w:r>
              <w:rPr>
                <w:sz w:val="17"/>
              </w:rPr>
              <w:t>1</w:t>
            </w:r>
          </w:p>
        </w:tc>
        <w:tc>
          <w:tcPr>
            <w:tcW w:type="dxa" w:w="1337"/>
            <w:shd w:val="clear" w:color="auto" w:fill="F5E1B8"/>
          </w:tcPr>
          <w:p>
            <w:r>
              <w:rPr>
                <w:sz w:val="17"/>
              </w:rPr>
              <w:t>MED</w:t>
            </w:r>
          </w:p>
        </w:tc>
        <w:tc>
          <w:tcPr>
            <w:tcW w:type="dxa" w:w="1337"/>
          </w:tcPr>
          <w:p>
            <w:r>
              <w:rPr>
                <w:sz w:val="17"/>
              </w:rPr>
              <w:t>'746-trial database' prose, two occurrences</w:t>
            </w:r>
          </w:p>
        </w:tc>
      </w:tr>
      <w:tr>
        <w:tc>
          <w:tcPr>
            <w:tcW w:type="dxa" w:w="1337"/>
          </w:tcPr>
          <w:p>
            <w:r>
              <w:rPr>
                <w:sz w:val="17"/>
              </w:rPr>
              <w:t>Gap_Evidence.html</w:t>
            </w:r>
          </w:p>
        </w:tc>
        <w:tc>
          <w:tcPr>
            <w:tcW w:type="dxa" w:w="1337"/>
          </w:tcPr>
          <w:p>
            <w:r>
              <w:rPr>
                <w:sz w:val="17"/>
              </w:rPr>
              <w:t>182</w:t>
            </w:r>
          </w:p>
        </w:tc>
        <w:tc>
          <w:tcPr>
            <w:tcW w:type="dxa" w:w="1337"/>
          </w:tcPr>
          <w:p>
            <w:r>
              <w:rPr>
                <w:sz w:val="17"/>
              </w:rPr>
              <w:t>71</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Gap_Synthesis.html</w:t>
            </w:r>
          </w:p>
        </w:tc>
        <w:tc>
          <w:tcPr>
            <w:tcW w:type="dxa" w:w="1337"/>
          </w:tcPr>
          <w:p>
            <w:r>
              <w:rPr>
                <w:sz w:val="17"/>
              </w:rPr>
              <w:t>121</w:t>
            </w:r>
          </w:p>
        </w:tc>
        <w:tc>
          <w:tcPr>
            <w:tcW w:type="dxa" w:w="1337"/>
          </w:tcPr>
          <w:p>
            <w:r>
              <w:rPr>
                <w:sz w:val="17"/>
              </w:rPr>
              <w:t>8</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Generic_Drug_Catalog.html</w:t>
            </w:r>
          </w:p>
        </w:tc>
        <w:tc>
          <w:tcPr>
            <w:tcW w:type="dxa" w:w="1337"/>
          </w:tcPr>
          <w:p>
            <w:r>
              <w:rPr>
                <w:sz w:val="17"/>
              </w:rPr>
              <w:t>48</w:t>
            </w:r>
          </w:p>
        </w:tc>
        <w:tc>
          <w:tcPr>
            <w:tcW w:type="dxa" w:w="1337"/>
          </w:tcPr>
          <w:p>
            <w:r>
              <w:rPr>
                <w:sz w:val="17"/>
              </w:rPr>
              <w:t>2</w:t>
            </w:r>
          </w:p>
        </w:tc>
        <w:tc>
          <w:tcPr>
            <w:tcW w:type="dxa" w:w="1337"/>
          </w:tcPr>
          <w:p>
            <w:r>
              <w:rPr>
                <w:sz w:val="17"/>
              </w:rPr>
              <w:t>1</w:t>
            </w:r>
          </w:p>
        </w:tc>
        <w:tc>
          <w:tcPr>
            <w:tcW w:type="dxa" w:w="1337"/>
          </w:tcPr>
          <w:p>
            <w:r>
              <w:rPr>
                <w:sz w:val="17"/>
              </w:rPr>
              <w:t>1</w:t>
            </w:r>
          </w:p>
        </w:tc>
        <w:tc>
          <w:tcPr>
            <w:tcW w:type="dxa" w:w="1337"/>
            <w:shd w:val="clear" w:color="auto" w:fill="F5E1B8"/>
          </w:tcPr>
          <w:p>
            <w:r>
              <w:rPr>
                <w:sz w:val="17"/>
              </w:rPr>
              <w:t>MED</w:t>
            </w:r>
          </w:p>
        </w:tc>
        <w:tc>
          <w:tcPr>
            <w:tcW w:type="dxa" w:w="1337"/>
          </w:tcPr>
          <w:p>
            <w:r>
              <w:rPr>
                <w:sz w:val="17"/>
              </w:rPr>
              <w:t>JS template literal leak (carryover)</w:t>
            </w:r>
          </w:p>
        </w:tc>
      </w:tr>
      <w:tr>
        <w:tc>
          <w:tcPr>
            <w:tcW w:type="dxa" w:w="1337"/>
          </w:tcPr>
          <w:p>
            <w:r>
              <w:rPr>
                <w:sz w:val="17"/>
              </w:rPr>
              <w:t>Health_Equity.html</w:t>
            </w:r>
          </w:p>
        </w:tc>
        <w:tc>
          <w:tcPr>
            <w:tcW w:type="dxa" w:w="1337"/>
          </w:tcPr>
          <w:p>
            <w:r>
              <w:rPr>
                <w:sz w:val="17"/>
              </w:rPr>
              <w:t>76</w:t>
            </w:r>
          </w:p>
        </w:tc>
        <w:tc>
          <w:tcPr>
            <w:tcW w:type="dxa" w:w="1337"/>
          </w:tcPr>
          <w:p>
            <w:r>
              <w:rPr>
                <w:sz w:val="17"/>
              </w:rPr>
              <w:t>10</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Immunomod_LADA.html</w:t>
            </w:r>
          </w:p>
        </w:tc>
        <w:tc>
          <w:tcPr>
            <w:tcW w:type="dxa" w:w="1337"/>
          </w:tcPr>
          <w:p>
            <w:r>
              <w:rPr>
                <w:sz w:val="17"/>
              </w:rPr>
              <w:t>50</w:t>
            </w:r>
          </w:p>
        </w:tc>
        <w:tc>
          <w:tcPr>
            <w:tcW w:type="dxa" w:w="1337"/>
          </w:tcPr>
          <w:p>
            <w:r>
              <w:rPr>
                <w:sz w:val="17"/>
              </w:rPr>
              <w:t>10</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Islet_Drug_Repurposing.html</w:t>
            </w:r>
          </w:p>
        </w:tc>
        <w:tc>
          <w:tcPr>
            <w:tcW w:type="dxa" w:w="1337"/>
          </w:tcPr>
          <w:p>
            <w:r>
              <w:rPr>
                <w:sz w:val="17"/>
              </w:rPr>
              <w:t>115</w:t>
            </w:r>
          </w:p>
        </w:tc>
        <w:tc>
          <w:tcPr>
            <w:tcW w:type="dxa" w:w="1337"/>
          </w:tcPr>
          <w:p>
            <w:r>
              <w:rPr>
                <w:sz w:val="17"/>
              </w:rPr>
              <w:t>5</w:t>
            </w:r>
          </w:p>
        </w:tc>
        <w:tc>
          <w:tcPr>
            <w:tcW w:type="dxa" w:w="1337"/>
          </w:tcPr>
          <w:p>
            <w:r>
              <w:rPr>
                <w:sz w:val="17"/>
              </w:rPr>
              <w:t>1</w:t>
            </w:r>
          </w:p>
        </w:tc>
        <w:tc>
          <w:tcPr>
            <w:tcW w:type="dxa" w:w="1337"/>
          </w:tcPr>
          <w:p>
            <w:r>
              <w:rPr>
                <w:sz w:val="17"/>
              </w:rPr>
              <w:t>1</w:t>
            </w:r>
          </w:p>
        </w:tc>
        <w:tc>
          <w:tcPr>
            <w:tcW w:type="dxa" w:w="1337"/>
            <w:shd w:val="clear" w:color="auto" w:fill="F5C5C5"/>
          </w:tcPr>
          <w:p>
            <w:r>
              <w:rPr>
                <w:sz w:val="17"/>
              </w:rPr>
              <w:t>HIGH</w:t>
            </w:r>
          </w:p>
        </w:tc>
        <w:tc>
          <w:tcPr>
            <w:tcW w:type="dxa" w:w="1337"/>
          </w:tcPr>
          <w:p>
            <w:r>
              <w:rPr>
                <w:sz w:val="17"/>
              </w:rPr>
              <w:t>Missing from docs/Dashboards/ mirror (4th cycle)</w:t>
            </w:r>
          </w:p>
        </w:tc>
      </w:tr>
      <w:tr>
        <w:tc>
          <w:tcPr>
            <w:tcW w:type="dxa" w:w="1337"/>
          </w:tcPr>
          <w:p>
            <w:r>
              <w:rPr>
                <w:sz w:val="17"/>
              </w:rPr>
              <w:t>Islet_Transplant_Analysis.html</w:t>
            </w:r>
          </w:p>
        </w:tc>
        <w:tc>
          <w:tcPr>
            <w:tcW w:type="dxa" w:w="1337"/>
          </w:tcPr>
          <w:p>
            <w:r>
              <w:rPr>
                <w:sz w:val="17"/>
              </w:rPr>
              <w:t>74</w:t>
            </w:r>
          </w:p>
        </w:tc>
        <w:tc>
          <w:tcPr>
            <w:tcW w:type="dxa" w:w="1337"/>
          </w:tcPr>
          <w:p>
            <w:r>
              <w:rPr>
                <w:sz w:val="17"/>
              </w:rPr>
              <w:t>4</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Islet_Transplant_Equity.html</w:t>
            </w:r>
          </w:p>
        </w:tc>
        <w:tc>
          <w:tcPr>
            <w:tcW w:type="dxa" w:w="1337"/>
          </w:tcPr>
          <w:p>
            <w:r>
              <w:rPr>
                <w:sz w:val="17"/>
              </w:rPr>
              <w:t>43</w:t>
            </w:r>
          </w:p>
        </w:tc>
        <w:tc>
          <w:tcPr>
            <w:tcW w:type="dxa" w:w="1337"/>
          </w:tcPr>
          <w:p>
            <w:r>
              <w:rPr>
                <w:sz w:val="17"/>
              </w:rPr>
              <w:t>5</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LADA_Diagnostic_Model.html</w:t>
            </w:r>
          </w:p>
        </w:tc>
        <w:tc>
          <w:tcPr>
            <w:tcW w:type="dxa" w:w="1337"/>
          </w:tcPr>
          <w:p>
            <w:r>
              <w:rPr>
                <w:sz w:val="17"/>
              </w:rPr>
              <w:t>57</w:t>
            </w:r>
          </w:p>
        </w:tc>
        <w:tc>
          <w:tcPr>
            <w:tcW w:type="dxa" w:w="1337"/>
          </w:tcPr>
          <w:p>
            <w:r>
              <w:rPr>
                <w:sz w:val="17"/>
              </w:rPr>
              <w:t>7</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LADA_Natural_History.html</w:t>
            </w:r>
          </w:p>
        </w:tc>
        <w:tc>
          <w:tcPr>
            <w:tcW w:type="dxa" w:w="1337"/>
          </w:tcPr>
          <w:p>
            <w:r>
              <w:rPr>
                <w:sz w:val="17"/>
              </w:rPr>
              <w:t>60</w:t>
            </w:r>
          </w:p>
        </w:tc>
        <w:tc>
          <w:tcPr>
            <w:tcW w:type="dxa" w:w="1337"/>
          </w:tcPr>
          <w:p>
            <w:r>
              <w:rPr>
                <w:sz w:val="17"/>
              </w:rPr>
              <w:t>7</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LADA_Prevalence.html</w:t>
            </w:r>
          </w:p>
        </w:tc>
        <w:tc>
          <w:tcPr>
            <w:tcW w:type="dxa" w:w="1337"/>
          </w:tcPr>
          <w:p>
            <w:r>
              <w:rPr>
                <w:sz w:val="17"/>
              </w:rPr>
              <w:t>54</w:t>
            </w:r>
          </w:p>
        </w:tc>
        <w:tc>
          <w:tcPr>
            <w:tcW w:type="dxa" w:w="1337"/>
          </w:tcPr>
          <w:p>
            <w:r>
              <w:rPr>
                <w:sz w:val="17"/>
              </w:rPr>
              <w:t>2</w:t>
            </w:r>
          </w:p>
        </w:tc>
        <w:tc>
          <w:tcPr>
            <w:tcW w:type="dxa" w:w="1337"/>
          </w:tcPr>
          <w:p>
            <w:r>
              <w:rPr>
                <w:sz w:val="17"/>
              </w:rPr>
              <w:t>1</w:t>
            </w:r>
          </w:p>
        </w:tc>
        <w:tc>
          <w:tcPr>
            <w:tcW w:type="dxa" w:w="1337"/>
          </w:tcPr>
          <w:p>
            <w:r>
              <w:rPr>
                <w:sz w:val="17"/>
              </w:rPr>
              <w:t>1</w:t>
            </w:r>
          </w:p>
        </w:tc>
        <w:tc>
          <w:tcPr>
            <w:tcW w:type="dxa" w:w="1337"/>
            <w:shd w:val="clear" w:color="auto" w:fill="F5E1B8"/>
          </w:tcPr>
          <w:p>
            <w:r>
              <w:rPr>
                <w:sz w:val="17"/>
              </w:rPr>
              <w:t>MED</w:t>
            </w:r>
          </w:p>
        </w:tc>
        <w:tc>
          <w:tcPr>
            <w:tcW w:type="dxa" w:w="1337"/>
          </w:tcPr>
          <w:p>
            <w:r>
              <w:rPr>
                <w:sz w:val="17"/>
              </w:rPr>
              <w:t>&lt;3 PMIDs visible; 2 of 2 tables without &lt;thead&gt;</w:t>
            </w:r>
          </w:p>
        </w:tc>
      </w:tr>
      <w:tr>
        <w:tc>
          <w:tcPr>
            <w:tcW w:type="dxa" w:w="1337"/>
          </w:tcPr>
          <w:p>
            <w:r>
              <w:rPr>
                <w:sz w:val="17"/>
              </w:rPr>
              <w:t>Medical_Data_Dictionary.html</w:t>
            </w:r>
          </w:p>
        </w:tc>
        <w:tc>
          <w:tcPr>
            <w:tcW w:type="dxa" w:w="1337"/>
          </w:tcPr>
          <w:p>
            <w:r>
              <w:rPr>
                <w:sz w:val="17"/>
              </w:rPr>
              <w:t>358</w:t>
            </w:r>
          </w:p>
        </w:tc>
        <w:tc>
          <w:tcPr>
            <w:tcW w:type="dxa" w:w="1337"/>
          </w:tcPr>
          <w:p>
            <w:r>
              <w:rPr>
                <w:sz w:val="17"/>
              </w:rPr>
              <w:t>90</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Methodology.html</w:t>
            </w:r>
          </w:p>
        </w:tc>
        <w:tc>
          <w:tcPr>
            <w:tcW w:type="dxa" w:w="1337"/>
          </w:tcPr>
          <w:p>
            <w:r>
              <w:rPr>
                <w:sz w:val="17"/>
              </w:rPr>
              <w:t>65</w:t>
            </w:r>
          </w:p>
        </w:tc>
        <w:tc>
          <w:tcPr>
            <w:tcW w:type="dxa" w:w="1337"/>
          </w:tcPr>
          <w:p>
            <w:r>
              <w:rPr>
                <w:sz w:val="17"/>
              </w:rPr>
              <w:t>0</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t>0 PMIDs (intentional — reference dashboard)</w:t>
            </w:r>
          </w:p>
        </w:tc>
      </w:tr>
      <w:tr>
        <w:tc>
          <w:tcPr>
            <w:tcW w:type="dxa" w:w="1337"/>
          </w:tcPr>
          <w:p>
            <w:r>
              <w:rPr>
                <w:sz w:val="17"/>
              </w:rPr>
              <w:t>Nutrition_Beta_Cells.html</w:t>
            </w:r>
          </w:p>
        </w:tc>
        <w:tc>
          <w:tcPr>
            <w:tcW w:type="dxa" w:w="1337"/>
          </w:tcPr>
          <w:p>
            <w:r>
              <w:rPr>
                <w:sz w:val="17"/>
              </w:rPr>
              <w:t>44</w:t>
            </w:r>
          </w:p>
        </w:tc>
        <w:tc>
          <w:tcPr>
            <w:tcW w:type="dxa" w:w="1337"/>
          </w:tcPr>
          <w:p>
            <w:r>
              <w:rPr>
                <w:sz w:val="17"/>
              </w:rPr>
              <w:t>8</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Nutrition_LADA.html</w:t>
            </w:r>
          </w:p>
        </w:tc>
        <w:tc>
          <w:tcPr>
            <w:tcW w:type="dxa" w:w="1337"/>
          </w:tcPr>
          <w:p>
            <w:r>
              <w:rPr>
                <w:sz w:val="17"/>
              </w:rPr>
              <w:t>54</w:t>
            </w:r>
          </w:p>
        </w:tc>
        <w:tc>
          <w:tcPr>
            <w:tcW w:type="dxa" w:w="1337"/>
          </w:tcPr>
          <w:p>
            <w:r>
              <w:rPr>
                <w:sz w:val="17"/>
              </w:rPr>
              <w:t>14</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PMID_Verification.html</w:t>
            </w:r>
          </w:p>
        </w:tc>
        <w:tc>
          <w:tcPr>
            <w:tcW w:type="dxa" w:w="1337"/>
          </w:tcPr>
          <w:p>
            <w:r>
              <w:rPr>
                <w:sz w:val="17"/>
              </w:rPr>
              <w:t>171</w:t>
            </w:r>
          </w:p>
        </w:tc>
        <w:tc>
          <w:tcPr>
            <w:tcW w:type="dxa" w:w="1337"/>
          </w:tcPr>
          <w:p>
            <w:r>
              <w:rPr>
                <w:sz w:val="17"/>
              </w:rPr>
              <w:t>259</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Paper_Library.html</w:t>
            </w:r>
          </w:p>
        </w:tc>
        <w:tc>
          <w:tcPr>
            <w:tcW w:type="dxa" w:w="1337"/>
          </w:tcPr>
          <w:p>
            <w:r>
              <w:rPr>
                <w:sz w:val="17"/>
              </w:rPr>
              <w:t>199</w:t>
            </w:r>
          </w:p>
        </w:tc>
        <w:tc>
          <w:tcPr>
            <w:tcW w:type="dxa" w:w="1337"/>
          </w:tcPr>
          <w:p>
            <w:r>
              <w:rPr>
                <w:sz w:val="17"/>
              </w:rPr>
              <w:t>259</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Research_Dashboard.html</w:t>
            </w:r>
          </w:p>
        </w:tc>
        <w:tc>
          <w:tcPr>
            <w:tcW w:type="dxa" w:w="1337"/>
          </w:tcPr>
          <w:p>
            <w:r>
              <w:rPr>
                <w:sz w:val="17"/>
              </w:rPr>
              <w:t>65</w:t>
            </w:r>
          </w:p>
        </w:tc>
        <w:tc>
          <w:tcPr>
            <w:tcW w:type="dxa" w:w="1337"/>
          </w:tcPr>
          <w:p>
            <w:r>
              <w:rPr>
                <w:sz w:val="17"/>
              </w:rPr>
              <w:t>7</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Research_Paths.html</w:t>
            </w:r>
          </w:p>
        </w:tc>
        <w:tc>
          <w:tcPr>
            <w:tcW w:type="dxa" w:w="1337"/>
          </w:tcPr>
          <w:p>
            <w:r>
              <w:rPr>
                <w:sz w:val="17"/>
              </w:rPr>
              <w:t>129</w:t>
            </w:r>
          </w:p>
        </w:tc>
        <w:tc>
          <w:tcPr>
            <w:tcW w:type="dxa" w:w="1337"/>
          </w:tcPr>
          <w:p>
            <w:r>
              <w:rPr>
                <w:sz w:val="17"/>
              </w:rPr>
              <w:t>8</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Statistical_Analysis.html</w:t>
            </w:r>
          </w:p>
        </w:tc>
        <w:tc>
          <w:tcPr>
            <w:tcW w:type="dxa" w:w="1337"/>
          </w:tcPr>
          <w:p>
            <w:r>
              <w:rPr>
                <w:sz w:val="17"/>
              </w:rPr>
              <w:t>37</w:t>
            </w:r>
          </w:p>
        </w:tc>
        <w:tc>
          <w:tcPr>
            <w:tcW w:type="dxa" w:w="1337"/>
          </w:tcPr>
          <w:p>
            <w:r>
              <w:rPr>
                <w:sz w:val="17"/>
              </w:rPr>
              <w:t>6</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r>
        <w:tc>
          <w:tcPr>
            <w:tcW w:type="dxa" w:w="1337"/>
          </w:tcPr>
          <w:p>
            <w:r>
              <w:rPr>
                <w:sz w:val="17"/>
              </w:rPr>
              <w:t>Treg_Neuropathy.html</w:t>
            </w:r>
          </w:p>
        </w:tc>
        <w:tc>
          <w:tcPr>
            <w:tcW w:type="dxa" w:w="1337"/>
          </w:tcPr>
          <w:p>
            <w:r>
              <w:rPr>
                <w:sz w:val="17"/>
              </w:rPr>
              <w:t>68</w:t>
            </w:r>
          </w:p>
        </w:tc>
        <w:tc>
          <w:tcPr>
            <w:tcW w:type="dxa" w:w="1337"/>
          </w:tcPr>
          <w:p>
            <w:r>
              <w:rPr>
                <w:sz w:val="17"/>
              </w:rPr>
              <w:t>7</w:t>
            </w:r>
          </w:p>
        </w:tc>
        <w:tc>
          <w:tcPr>
            <w:tcW w:type="dxa" w:w="1337"/>
          </w:tcPr>
          <w:p>
            <w:r>
              <w:rPr>
                <w:sz w:val="17"/>
              </w:rPr>
              <w:t>1</w:t>
            </w:r>
          </w:p>
        </w:tc>
        <w:tc>
          <w:tcPr>
            <w:tcW w:type="dxa" w:w="1337"/>
          </w:tcPr>
          <w:p>
            <w:r>
              <w:rPr>
                <w:sz w:val="17"/>
              </w:rPr>
              <w:t>1</w:t>
            </w:r>
          </w:p>
        </w:tc>
        <w:tc>
          <w:tcPr>
            <w:tcW w:type="dxa" w:w="1337"/>
            <w:shd w:val="clear" w:color="auto" w:fill="F5F0D8"/>
          </w:tcPr>
          <w:p>
            <w:r>
              <w:rPr>
                <w:sz w:val="17"/>
              </w:rPr>
              <w:t>LOW</w:t>
            </w:r>
          </w:p>
        </w:tc>
        <w:tc>
          <w:tcPr>
            <w:tcW w:type="dxa" w:w="1337"/>
          </w:tcPr>
          <w:p>
            <w:r>
              <w:rPr>
                <w:sz w:val="17"/>
              </w:rPr>
              <w:t>2 of 2 tables emitted without &lt;thead&gt;</w:t>
            </w:r>
          </w:p>
        </w:tc>
      </w:tr>
      <w:tr>
        <w:tc>
          <w:tcPr>
            <w:tcW w:type="dxa" w:w="1337"/>
          </w:tcPr>
          <w:p>
            <w:r>
              <w:rPr>
                <w:sz w:val="17"/>
              </w:rPr>
              <w:t>Trial_Equity_Mapper.html</w:t>
            </w:r>
          </w:p>
        </w:tc>
        <w:tc>
          <w:tcPr>
            <w:tcW w:type="dxa" w:w="1337"/>
          </w:tcPr>
          <w:p>
            <w:r>
              <w:rPr>
                <w:sz w:val="17"/>
              </w:rPr>
              <w:t>73</w:t>
            </w:r>
          </w:p>
        </w:tc>
        <w:tc>
          <w:tcPr>
            <w:tcW w:type="dxa" w:w="1337"/>
          </w:tcPr>
          <w:p>
            <w:r>
              <w:rPr>
                <w:sz w:val="17"/>
              </w:rPr>
              <w:t>8</w:t>
            </w:r>
          </w:p>
        </w:tc>
        <w:tc>
          <w:tcPr>
            <w:tcW w:type="dxa" w:w="1337"/>
          </w:tcPr>
          <w:p>
            <w:r>
              <w:rPr>
                <w:sz w:val="17"/>
              </w:rPr>
              <w:t>1</w:t>
            </w:r>
          </w:p>
        </w:tc>
        <w:tc>
          <w:tcPr>
            <w:tcW w:type="dxa" w:w="1337"/>
          </w:tcPr>
          <w:p>
            <w:r>
              <w:rPr>
                <w:sz w:val="17"/>
              </w:rPr>
              <w:t>1</w:t>
            </w:r>
          </w:p>
        </w:tc>
        <w:tc>
          <w:tcPr>
            <w:tcW w:type="dxa" w:w="1337"/>
          </w:tcPr>
          <w:p>
            <w:r>
              <w:rPr>
                <w:sz w:val="17"/>
              </w:rPr>
              <w:t>—</w:t>
            </w:r>
          </w:p>
        </w:tc>
        <w:tc>
          <w:tcPr>
            <w:tcW w:type="dxa" w:w="1337"/>
          </w:tcPr>
          <w:p>
            <w:r>
              <w:rPr>
                <w:sz w:val="17"/>
              </w:rPr>
            </w:r>
          </w:p>
        </w:tc>
      </w:tr>
    </w:tbl>
    <w:p>
      <w:r>
        <w:br w:type="page"/>
      </w:r>
    </w:p>
    <w:p>
      <w:pPr>
        <w:pStyle w:val="Heading1"/>
      </w:pPr>
      <w:r>
        <w:rPr>
          <w:rFonts w:ascii="Georgia" w:hAnsi="Georgia"/>
          <w:color w:val="1A1A1A"/>
        </w:rPr>
        <w:t>Detailed Findings</w:t>
      </w:r>
    </w:p>
    <w:p>
      <w:pPr>
        <w:pStyle w:val="Heading2"/>
      </w:pPr>
      <w:r>
        <w:rPr>
          <w:rFonts w:ascii="Georgia" w:hAnsi="Georgia"/>
          <w:color w:val="1A1A1A"/>
        </w:rPr>
        <w:t>1. Navigation and UX Consistency</w:t>
      </w:r>
    </w:p>
    <w:p>
      <w:pPr>
        <w:pStyle w:val="Heading3"/>
      </w:pPr>
      <w:r>
        <w:rPr>
          <w:rFonts w:ascii="Georgia" w:hAnsi="Georgia"/>
          <w:color w:val="1A1A1A"/>
        </w:rPr>
        <w:t>Working copy (Dashboards/)</w:t>
      </w:r>
    </w:p>
    <w:p>
      <w:r>
        <w:t>All 34 dashboards in the working copy carry the &lt;nav class="drh-nav"&gt; element added by postprocess_dashboards.py and a back-link of the form href="../docs/index.html" → Hub. The post-processing log from this cycle confirms 'Processed 34 dashboards, 34 modified'. Static scan finds zero working-copy dashboards missing navigation or back-links. Cross-link density is uniform: each nav exposes a grouped dropdown with all 34 sibling dashboards visible.</w:t>
      </w:r>
    </w:p>
    <w:p>
      <w:pPr>
        <w:pStyle w:val="Heading3"/>
      </w:pPr>
      <w:r>
        <w:rPr>
          <w:rFonts w:ascii="Georgia" w:hAnsi="Georgia"/>
          <w:color w:val="1A1A1A"/>
        </w:rPr>
        <w:t>Published mirror (docs/Dashboards/)</w:t>
      </w:r>
    </w:p>
    <w:p>
      <w:r>
        <w:t>New finding this week. The mirror is not 'one dashboard short' as previously characterized — it is wholly stale. All 33 files in docs/Dashboards/ are dated 2026-03-29 14:14, predating the introduction of the drh-nav post-processing step entirely. Zero of the 33 mirror dashboards contain the drh-nav class; all 34 working-copy dashboards do. The deployment step that should copy /Dashboards/*.html → /docs/Dashboards/*.html has either silently failed, been removed, or was never wired up after the post-processing pipeline was introduced. refresh_hub.py contains no reference to docs/ or any sync/copy step targeting docs/Dashboards/.</w:t>
      </w:r>
    </w:p>
    <w:p>
      <w:r>
        <w:t>User-visible impact: every navigation improvement, every ARIA addition, every PMID hyperlink injection of the past two months is invisible on the deployed GitHub Pages site. Visitors see the March 29 versions with no nav bars, no back-links, and incomplete citation linking. The 'live' Tufte landing page at docs/index.html, by contrast, has been refreshed this morning (2026-05-31) — the landing page updates cleanly, but the artifacts it links to are frozen in March.</w:t>
      </w:r>
    </w:p>
    <w:p>
      <w:pPr>
        <w:pStyle w:val="Heading3"/>
      </w:pPr>
      <w:r>
        <w:rPr>
          <w:rFonts w:ascii="Georgia" w:hAnsi="Georgia"/>
          <w:color w:val="1A1A1A"/>
        </w:rPr>
        <w:t>Landing page link resolution</w:t>
      </w:r>
    </w:p>
    <w:p>
      <w:r>
        <w:t>docs/index.html lists 34 dashboards. 34 of 34 hrefs resolve against the working copy Dashboards/. 33 of 34 resolve against docs/Dashboards/. The one broken mirror link is the recurring Dashboards/Islet_Drug_Repurposing.html — the working copy has it at 115.6 KB, the mirror does not.</w:t>
      </w:r>
    </w:p>
    <w:p>
      <w:pPr>
        <w:pStyle w:val="Heading2"/>
      </w:pPr>
      <w:r>
        <w:rPr>
          <w:rFonts w:ascii="Georgia" w:hAnsi="Georgia"/>
          <w:color w:val="1A1A1A"/>
        </w:rPr>
        <w:t>2. Research Validity and Citation Completeness</w:t>
      </w:r>
    </w:p>
    <w:p>
      <w:pPr>
        <w:pStyle w:val="Heading3"/>
      </w:pPr>
      <w:r>
        <w:rPr>
          <w:rFonts w:ascii="Georgia" w:hAnsi="Georgia"/>
          <w:color w:val="1A1A1A"/>
        </w:rPr>
        <w:t>PMID coverage</w:t>
      </w:r>
    </w:p>
    <w:p>
      <w:r>
        <w:t>186 unique numeric PMIDs are referenced across the working-copy dashboards. PMID_Verification.html and Paper_Library.html remain the two canonical citation registries, with 259 PMIDs each. Across the remaining 32 dashboards, PMID counts visible to static scan range from 0 (Acronym_Database, Methodology — both intentional, reference dashboards by design) to 90 (Medical_Data_Dictionary). 30 of 34 dashboards carry at least 3 unique PMIDs at static scan. Two fall below the &lt; 3 threshold and are flagged MEDIUM: Generic_Drug_Catalog (2 visible; runtime JS injects more but they leak as malformed hrefs — see below) and LADA_Prevalence (2 unique).</w:t>
      </w:r>
    </w:p>
    <w:p>
      <w:pPr>
        <w:pStyle w:val="Heading3"/>
      </w:pPr>
      <w:r>
        <w:rPr>
          <w:rFonts w:ascii="Georgia" w:hAnsi="Georgia"/>
          <w:color w:val="1A1A1A"/>
        </w:rPr>
        <w:t>Malformed PubMed hyperlinks</w:t>
      </w:r>
    </w:p>
    <w:p>
      <w:r>
        <w:t>Three dashboards still contain hrefs that do not match the canonical https://pubmed.ncbi.nlm.nih.gov/&lt;digits&gt;/ form — same set as the May 17 and May 24 audits, no progress this week:</w:t>
      </w:r>
    </w:p>
    <w:p>
      <w:r>
        <w:t>Drug_Repurposing_Islet.html — 7 hrefs of the form pubmed.ncbi.nlm.nih.gov/&lt;sentence&gt; (observed: 'BANDIT trial', 'Clinical data in T2D', 'Emerging transplant data', 'NCT01319331', three variants of 'Mechanistic rationale (no islet transplant clinical data)'). These render as broken external links to any user who clicks them. Root cause is in build_drug_repurposing_islet.py, which appears to pass annotation text into the same template slot that elsewhere receives a numeric PMID.</w:t>
      </w:r>
    </w:p>
    <w:p>
      <w:r>
        <w:t>Generic_Drug_Catalog.html — 2 static href values contain the literal pubmed.ncbi.nlm.nih.gov/' + p.trim() + '/ — the JavaScript template literal was concatenated as a string rather than interpolated. Works at runtime; trips every static link checker and external auditor.</w:t>
      </w:r>
    </w:p>
    <w:p>
      <w:r>
        <w:t>Methodology.html — 1 empty pubmed.ncbi.nlm.nih.gov/ href used as a didactic example of what a PMID link looks like. Cosmetic, not user-facing as broken.</w:t>
      </w:r>
    </w:p>
    <w:p>
      <w:pPr>
        <w:pStyle w:val="Heading3"/>
      </w:pPr>
      <w:r>
        <w:rPr>
          <w:rFonts w:ascii="Georgia" w:hAnsi="Georgia"/>
          <w:color w:val="1A1A1A"/>
        </w:rPr>
        <w:t>Most-cited PMIDs (cross-dashboard reuse)</w:t>
      </w:r>
    </w:p>
    <w:p>
      <w:r>
        <w:t>Five PMIDs appear 12 or more times across the platform: 37359825 (32), 38783768 (16), 37105208 (16), 35028608 (12), 23248199 (12). Spot-checks confirmed these high-frequency PMIDs are cited with the same paper title across dashboards — no evidence of cross-dashboard PMID misattribution this cycle. The known calibration row in Paper_Library and PMID_Verification (PMID 12345678, deliberately MISMATCH-scored) is unchanged from prior audits and remains undocumented in user-facing UI.</w:t>
      </w:r>
    </w:p>
    <w:p>
      <w:pPr>
        <w:pStyle w:val="Heading2"/>
      </w:pPr>
      <w:r>
        <w:rPr>
          <w:rFonts w:ascii="Georgia" w:hAnsi="Georgia"/>
          <w:color w:val="1A1A1A"/>
        </w:rPr>
        <w:t>3. Build Integrity</w:t>
      </w:r>
    </w:p>
    <w:p>
      <w:pPr>
        <w:pStyle w:val="Heading3"/>
      </w:pPr>
      <w:r>
        <w:rPr>
          <w:rFonts w:ascii="Georgia" w:hAnsi="Georgia"/>
          <w:color w:val="1A1A1A"/>
        </w:rPr>
        <w:t>Master pipeline exit status</w:t>
      </w:r>
    </w:p>
    <w:p>
      <w:r>
        <w:t>python run_quality_improvements.py was executed end-to-end during this audit. Exit message: 'All 41 improvements completed successfully.' All 41 scripts referenced by the master runner pass Python 3 compilation and execute without errors. This is the first all-green build since the May 17 audit.</w:t>
      </w:r>
    </w:p>
    <w:p>
      <w:pPr>
        <w:pStyle w:val="Heading3"/>
      </w:pPr>
      <w:r>
        <w:rPr>
          <w:rFonts w:ascii="Georgia" w:hAnsi="Georgia"/>
          <w:color w:val="1A1A1A"/>
        </w:rPr>
        <w:t>Closed this cycle</w:t>
      </w:r>
    </w:p>
    <w:p>
      <w:r>
        <w:t>add_citations.py — last week's HIGH-priority IndentationError at line 268 has been resolved. py_compile is clean and the script runs to completion as part of the master pipeline. The orphan duplicate close-block has been removed.</w:t>
      </w:r>
    </w:p>
    <w:p>
      <w:pPr>
        <w:pStyle w:val="Heading3"/>
      </w:pPr>
      <w:r>
        <w:rPr>
          <w:rFonts w:ascii="Georgia" w:hAnsi="Georgia"/>
          <w:color w:val="1A1A1A"/>
        </w:rPr>
        <w:t>Footprint and counts</w:t>
      </w:r>
    </w:p>
    <w:p>
      <w:r>
        <w:t>Working-copy Dashboards/: 34 HTML files, ~3.7 MB. Mirror docs/Dashboards/: 33 HTML files, ~3.0 MB. The size delta reflects both the single missing file (Islet_Drug_Repurposing.html ~115 KB) and the absence of every post-processing addition (nav-bar markup, ARIA attributes, PMID hyperlink injection) across the rest of the mirror. The Clinical_Trial_Dashboard regenerates at 441 KB in the working copy versus 414 KB in the stale mirror — that 27 KB delta is mostly nav markup and added citation hyperlinks.</w:t>
      </w:r>
    </w:p>
    <w:p>
      <w:pPr>
        <w:pStyle w:val="Heading2"/>
      </w:pPr>
      <w:r>
        <w:rPr>
          <w:rFonts w:ascii="Georgia" w:hAnsi="Georgia"/>
          <w:color w:val="1A1A1A"/>
        </w:rPr>
        <w:t>4. Content Freshness</w:t>
      </w:r>
    </w:p>
    <w:p>
      <w:pPr>
        <w:pStyle w:val="Heading3"/>
      </w:pPr>
      <w:r>
        <w:rPr>
          <w:rFonts w:ascii="Georgia" w:hAnsi="Georgia"/>
          <w:color w:val="1A1A1A"/>
        </w:rPr>
        <w:t>Dates and timestamps</w:t>
      </w:r>
    </w:p>
    <w:p>
      <w:r>
        <w:t>Landing-page footer: 'Last updated: 2026-05-31' — matches today. Footer copyright: '© 2026 Justin Bottum' — current. Multiple dashboards carry 'Last updated: May 31, 2026' or 'Last updated: 2026'. The one stale year-stamp remains GKA_Landscape.html, whose footer reads 'Generated 2025 | SILVER Validation Status' — the string is hardcoded in build_gka_landscape.py at line 1211 of the rendered output. Carryover from May 17, May 24.</w:t>
      </w:r>
    </w:p>
    <w:p>
      <w:pPr>
        <w:pStyle w:val="Heading3"/>
      </w:pPr>
      <w:r>
        <w:rPr>
          <w:rFonts w:ascii="Georgia" w:hAnsi="Georgia"/>
          <w:color w:val="1A1A1A"/>
        </w:rPr>
        <w:t>Clinical-trial count drift</w:t>
      </w:r>
    </w:p>
    <w:p>
      <w:r>
        <w:t>Today's canonical count (Analysis/Results/clinical_trials_latest.json) is 804 trials. The landing page reflects this in both the headline figures block and the Clinical Trial Intelligence card. Surfaces in disagreement, drift unchanged or worsened from May 24:</w:t>
      </w:r>
    </w:p>
    <w:p>
      <w:r>
        <w:t>Dashboards/Clinical_Trial_Dashboard.html prose — '748+ diabetes clinical trials' (stale; was stale at 748+ last week too)</w:t>
      </w:r>
    </w:p>
    <w:p>
      <w:r>
        <w:t>Dashboards/Gap_Deep_Dives.html — three occurrences of '746' (stale)</w:t>
      </w:r>
    </w:p>
    <w:p>
      <w:r>
        <w:t>docs/social_media_launch_posts.md — five occurrences of '746' (stale)</w:t>
      </w:r>
    </w:p>
    <w:p>
      <w:r>
        <w:t>The audit task description itself still references 746 trials — this is now four audit cycles out of date and should be removed from the task description, or the description should be reworded to 'whatever the current canonical figure is'. Until a single source-of-truth is wired in at build time, every weekly audit will keep re-flagging the same four surfaces.</w:t>
      </w:r>
    </w:p>
    <w:p>
      <w:pPr>
        <w:pStyle w:val="Heading3"/>
      </w:pPr>
      <w:r>
        <w:rPr>
          <w:rFonts w:ascii="Georgia" w:hAnsi="Georgia"/>
          <w:color w:val="1A1A1A"/>
        </w:rPr>
        <w:t>Upcoming / in-progress items</w:t>
      </w:r>
    </w:p>
    <w:p>
      <w:r>
        <w:t>The landing page carries an 'In Progress &amp; Upcoming' section with three cards: Multi-Omics Biomarker Integration (In Progress), Pressure Test: LADA Model + Trial Mapper (In Progress), and BRONZE-to-SILVER Gap Promotion (Completed). None carry deadlines; none are past due. The Completed card has been in place across five audit cycles now and is starting to look like permanent furniture rather than recent news — consider rotating it out or moving it to a 'Recent Milestones' section.</w:t>
      </w:r>
    </w:p>
    <w:p>
      <w:pPr>
        <w:pStyle w:val="Heading2"/>
      </w:pPr>
      <w:r>
        <w:rPr>
          <w:rFonts w:ascii="Georgia" w:hAnsi="Georgia"/>
          <w:color w:val="1A1A1A"/>
        </w:rPr>
        <w:t>5. Accessibility and Inclusivity</w:t>
      </w:r>
    </w:p>
    <w:p>
      <w:pPr>
        <w:pStyle w:val="Heading3"/>
      </w:pPr>
      <w:r>
        <w:rPr>
          <w:rFonts w:ascii="Georgia" w:hAnsi="Georgia"/>
          <w:color w:val="1A1A1A"/>
        </w:rPr>
        <w:t>Colour contrast</w:t>
      </w:r>
    </w:p>
    <w:p>
      <w:r>
        <w:t>The --muted token (#636363) on the --bg surface (#fafaf7) yields a contrast ratio of 5.75 : 1, which passes WCAG AA for normal body text (4.5 : 1) but falls short of AAA (7 : 1). The --light token (#999999) on the same background yields 2.72 : 1, which fails AA for normal text. Observed usage of --light is confined to decorative dot leaders and rules — no semantic text is bound to it — so the failing ratio does not break compliance, but the binding should be enforced by convention rather than discipline. Recommendation: darken --muted to #5A5A5A (6.60 : 1) per prior audits; restrict --light to decorative use by convention or rename it to --light-decorative.</w:t>
      </w:r>
    </w:p>
    <w:p>
      <w:pPr>
        <w:pStyle w:val="Heading3"/>
      </w:pPr>
      <w:r>
        <w:rPr>
          <w:rFonts w:ascii="Georgia" w:hAnsi="Georgia"/>
          <w:color w:val="1A1A1A"/>
        </w:rPr>
        <w:t>ARIA coverage</w:t>
      </w:r>
    </w:p>
    <w:p>
      <w:r>
        <w:t>ARIA attribute density across the working copy ranges from 8 to 10 aria-* attributes per dashboard, with the typical pattern being aria-label on the tab list, aria-expanded / aria-controls on collapsible sections, and aria-haspopup / aria-label on the new drh-nav grouped dropdown. No dashboard falls below the platform's documented minimum. Post-processing log this cycle confirms 'ARIA labels' applied to all 34 dashboards. The deployed mirror has none of this — see Section 1.</w:t>
      </w:r>
    </w:p>
    <w:p>
      <w:pPr>
        <w:pStyle w:val="Heading3"/>
      </w:pPr>
      <w:r>
        <w:rPr>
          <w:rFonts w:ascii="Georgia" w:hAnsi="Georgia"/>
          <w:color w:val="1A1A1A"/>
        </w:rPr>
        <w:t>Table header markup</w:t>
      </w:r>
    </w:p>
    <w:p>
      <w:r>
        <w:t>0 of 465 &lt;th&gt; elements across the working copy carry scope="col" or scope="row". Long-standing platform-wide LOW finding, unchanged from prior audits. Fix is a single postprocess pass that walks every &lt;th&gt; and inserts scope based on parent row position; the post-processing infrastructure already exists for this.</w:t>
      </w:r>
    </w:p>
    <w:p>
      <w:r>
        <w:t>Three dashboards still emit one or more &lt;table&gt; elements with no &lt;thead&gt;: GKA_Pricing.html (4 of 4 tables), LADA_Prevalence.html (2 of 2), Treg_Neuropathy.html (2 of 2). Extracted_Evidence.html has 12 of 15 tables without &lt;thead&gt;. These are runtime-rendered tables from JavaScript that drops the &lt;thead&gt; wrapping. Fix is either in the JS emit path or as a one-shot postprocess step in postprocess_dashboards.py.</w:t>
      </w:r>
    </w:p>
    <w:p>
      <w:pPr>
        <w:pStyle w:val="Heading2"/>
      </w:pPr>
      <w:r>
        <w:rPr>
          <w:rFonts w:ascii="Georgia" w:hAnsi="Georgia"/>
          <w:color w:val="1A1A1A"/>
        </w:rPr>
        <w:t>6. Collaboration Infrastructure</w:t>
      </w:r>
    </w:p>
    <w:p>
      <w:r>
        <w:t>CONTRIBUTING.md is present at the repo root, 3.4 KB, last modified 2026-03-16. It covers data error reporting, new-gap submission, dashboard improvements, and includes an APA citation and BibTeX block under 'Citing This Work'. Unchanged since prior audits.</w:t>
      </w:r>
    </w:p>
    <w:p>
      <w:r>
        <w:t>.github/ISSUE_TEMPLATE/ contains four templates: bug_report.md, data_error.md, feature_request.md, new_gap.md. All present and unchanged. No pull request template (.github/PULL_REQUEST_TEMPLATE.md does not exist) — minor gap but contributors are currently directed through issues rather than PRs.</w:t>
      </w:r>
    </w:p>
    <w:p>
      <w:r>
        <w:t>CITATION.cff is still absent at the repo root — carryover LOW from prior audits. A 12-line file mirroring the APA citation already in CONTRIBUTING.md would enable GitHub's 'Cite this repository' button on the repo home page. codemeta.json is also absent.</w:t>
      </w:r>
    </w:p>
    <w:p>
      <w:r>
        <w:br w:type="page"/>
      </w:r>
    </w:p>
    <w:p>
      <w:pPr>
        <w:pStyle w:val="Heading1"/>
      </w:pPr>
      <w:r>
        <w:rPr>
          <w:rFonts w:ascii="Georgia" w:hAnsi="Georgia"/>
          <w:color w:val="1A1A1A"/>
        </w:rPr>
        <w:t>Priority Action Items</w:t>
      </w:r>
    </w:p>
    <w:p>
      <w:pPr>
        <w:pStyle w:val="Heading2"/>
      </w:pPr>
      <w:r>
        <w:rPr>
          <w:rFonts w:ascii="Georgia" w:hAnsi="Georgia"/>
          <w:color w:val="1A1A1A"/>
        </w:rPr>
        <w:t>HIGH</w:t>
      </w:r>
    </w:p>
    <w:p>
      <w:r>
        <w:rPr>
          <w:b/>
          <w:i w:val="0"/>
        </w:rPr>
        <w:t>1. Fix the docs/Dashboards/ deploy step (NEW).</w:t>
      </w:r>
    </w:p>
    <w:p>
      <w:r>
        <w:t>All 33 files in the deployed mirror are dated 2026-03-29, predating the drh-nav post-processing step and every PMID hyperlink injection since. None of the working-copy improvements of the past two months are visible on the GitHub Pages site. refresh_hub.py contains no docs/ sync. The fix is to add a sync step to the deploy pipeline — concretely, after the post-processing run in run_quality_improvements.py, copy every Dashboards/*.html → docs/Dashboards/*.html (and ensure Islet_Drug_Repurposing.html is included). Test: timestamp on docs/Dashboards/Acronym_Database.html should move forward to today's date; drh-nav class should appear in all 34 mirror files.</w:t>
      </w:r>
    </w:p>
    <w:p>
      <w:r>
        <w:rPr>
          <w:b/>
          <w:i w:val="0"/>
        </w:rPr>
        <w:t>2. Mirror Dashboards/Islet_Drug_Repurposing.html to docs/Dashboards/ (carryover, 4th cycle).</w:t>
      </w:r>
    </w:p>
    <w:p>
      <w:r>
        <w:t>This is a subset of (1) above — once the deploy step is fixed, this finding closes automatically. Until then, visitors see 404 on the 'Islet Drug Repurposing Pipeline' card from the landing page. Working copy at 115.6 KB has complete nav/back/PMID markup.</w:t>
      </w:r>
    </w:p>
    <w:p>
      <w:pPr>
        <w:pStyle w:val="Heading2"/>
      </w:pPr>
      <w:r>
        <w:rPr>
          <w:rFonts w:ascii="Georgia" w:hAnsi="Georgia"/>
          <w:color w:val="1A1A1A"/>
        </w:rPr>
        <w:t>MEDIUM</w:t>
      </w:r>
    </w:p>
    <w:p>
      <w:r>
        <w:rPr>
          <w:b/>
          <w:i w:val="0"/>
        </w:rPr>
        <w:t>3. Eliminate trial-count drift across user-facing surfaces (carryover).</w:t>
      </w:r>
    </w:p>
    <w:p>
      <w:r>
        <w:t>Today's canonical count is 804. Disagreeing surfaces: Clinical_Trial_Dashboard.html prose ('748+'), Gap_Deep_Dives.html (three '746' occurrences), docs/social_media_launch_posts.md (five '746' occurrences). All four should read from the same source-of-truth as the landing page — concretely, the trial count produced by baseline_clinical_trials.py and stored in clinical_trials_latest.json. Until that wiring is in place, every weekly audit will keep flagging the same drift.</w:t>
      </w:r>
    </w:p>
    <w:p>
      <w:r>
        <w:rPr>
          <w:b/>
          <w:i w:val="0"/>
        </w:rPr>
        <w:t>4. Fix the 7 sentence-as-PMID hrefs in Drug_Repurposing_Islet.html (carryover, 4th cycle).</w:t>
      </w:r>
    </w:p>
    <w:p>
      <w:r>
        <w:t>Each href currently points to https://pubmed.ncbi.nlm.nih.gov/&lt;a sentence&gt;. Replace each with the actual PMID (preferred) or remove the hyperlink wrapper and leave the annotation as plain text. The underlying issue is in build_drug_repurposing_islet.py, which is routing free-text into the same template slot used for numeric PMIDs.</w:t>
      </w:r>
    </w:p>
    <w:p>
      <w:r>
        <w:rPr>
          <w:b/>
          <w:i w:val="0"/>
        </w:rPr>
        <w:t>5. Fix the JavaScript template-literal leak in Generic_Drug_Catalog.html (carryover, 4th cycle).</w:t>
      </w:r>
    </w:p>
    <w:p>
      <w:r>
        <w:t>Two static href values contain pubmed.ncbi.nlm.nih.gov/' + p.trim() + '/ — the template literal was concatenated as a string instead of interpolated. Works at runtime; trips every static scanner and any link-checker.</w:t>
      </w:r>
    </w:p>
    <w:p>
      <w:r>
        <w:rPr>
          <w:b/>
          <w:i w:val="0"/>
        </w:rPr>
        <w:t>6. Update the audit task description (NEW housekeeping).</w:t>
      </w:r>
    </w:p>
    <w:p>
      <w:r>
        <w:t>The task description references '746 trials' as a number worth refreshing. The canonical figure has been &gt; 746 for at least four audit cycles (was 795 on May 17, 797 on May 24, 804 today). Either remove the number from the prompt or reword to 'whatever the current canonical figure is in Analysis/Results/clinical_trials_latest.json'.</w:t>
      </w:r>
    </w:p>
    <w:p>
      <w:pPr>
        <w:pStyle w:val="Heading2"/>
      </w:pPr>
      <w:r>
        <w:rPr>
          <w:rFonts w:ascii="Georgia" w:hAnsi="Georgia"/>
          <w:color w:val="1A1A1A"/>
        </w:rPr>
        <w:t>LOW — platform-wide hygiene</w:t>
      </w:r>
    </w:p>
    <w:p>
      <w:r>
        <w:rPr>
          <w:b/>
          <w:i w:val="0"/>
        </w:rPr>
        <w:t>7. Inject scope="col" / scope="row" on every &lt;th&gt; (carryover).</w:t>
      </w:r>
    </w:p>
    <w:p>
      <w:r>
        <w:t>465 of 465 &lt;th&gt; elements lack scope attributes. Single postprocess pass that walks every &lt;th&gt; and inserts the appropriate scope based on parent row position. Pattern already exists in postprocess_dashboards.py for nav and ARIA.</w:t>
      </w:r>
    </w:p>
    <w:p>
      <w:r>
        <w:rPr>
          <w:b/>
          <w:i w:val="0"/>
        </w:rPr>
        <w:t>8. Wrap orphan &lt;table&gt; bodies in &lt;thead&gt; (carryover).</w:t>
      </w:r>
    </w:p>
    <w:p>
      <w:r>
        <w:t>GKA_Pricing (4), LADA_Prevalence (2), Treg_Neuropathy (2), and Extracted_Evidence (12 of 15) emit tables without &lt;thead&gt;. Either teach the JS emitter to wrap header rows or run the same postprocess pass to add &lt;thead&gt; before deploy.</w:t>
      </w:r>
    </w:p>
    <w:p>
      <w:r>
        <w:rPr>
          <w:b/>
          <w:i w:val="0"/>
        </w:rPr>
        <w:t>9. Add CITATION.cff at the repo root (carryover).</w:t>
      </w:r>
    </w:p>
    <w:p>
      <w:r>
        <w:t>12-line file mirroring the APA citation already in CONTRIBUTING.md. Enables GitHub's 'Cite this repository' button on the repo home page. The text is already written; it just needs to be saved in the correct file with the correct schema.</w:t>
      </w:r>
    </w:p>
    <w:p>
      <w:r>
        <w:rPr>
          <w:b/>
          <w:i w:val="0"/>
        </w:rPr>
        <w:t>10. Add a minimal CI workflow (carryover).</w:t>
      </w:r>
    </w:p>
    <w:p>
      <w:r>
        <w:t>python -m py_compile across Analysis/Scripts/*.py plus a check that every &lt;href&gt; in docs/index.html resolves to a file in docs/Dashboards/. Would have caught (a) last week's add_citations.py regression on PR rather than weekly audit, (b) this week's mirror-staleness finding on the very first PR after the deploy step broke. A 30-line GitHub Actions workflow is sufficient.</w:t>
      </w:r>
    </w:p>
    <w:p>
      <w:r>
        <w:rPr>
          <w:b/>
          <w:i w:val="0"/>
        </w:rPr>
        <w:t>11. Replace the hardcoded "Generated 2025" footer in build_gka_landscape.py (carryover).</w:t>
      </w:r>
    </w:p>
    <w:p>
      <w:r>
        <w:t>Every other build script writes the current date at footer-render time. This one is a literal at the footer template in build_gka_landscape.py. One-line fix: datetime.date.today().year.</w:t>
      </w:r>
    </w:p>
    <w:p>
      <w:r>
        <w:rPr>
          <w:b/>
          <w:i w:val="0"/>
        </w:rPr>
        <w:t>12. Darken --muted from #636363 to #5A5A5A (carryover).</w:t>
      </w:r>
    </w:p>
    <w:p>
      <w:r>
        <w:t>Lifts contrast from 5.75 : 1 to 6.60 : 1. Approaches WCAG AAA without changing the visual character of the Tufte palette.</w:t>
      </w:r>
    </w:p>
    <w:p>
      <w:pPr>
        <w:pStyle w:val="Heading1"/>
      </w:pPr>
      <w:r>
        <w:rPr>
          <w:rFonts w:ascii="Georgia" w:hAnsi="Georgia"/>
          <w:color w:val="1A1A1A"/>
        </w:rPr>
        <w:t>Audit Methodology</w:t>
      </w:r>
    </w:p>
    <w:p>
      <w:r>
        <w:t>Combined static scan and one live execution of the master pipeline. The auditor inspected file contents in Dashboards/ and docs/Dashboards/, regex-matched PMIDs and href patterns, ran py_compile across Analysis/Scripts/, executed python run_quality_improvements.py end-to-end (which exited all-green this cycle), and compared counts and findings against the May 24, 2026 Platform_Audit_Report.docx. Link existence was checked against the local working copy and mirror; no external HTTP fetch to PubMed was performed. Findings flagged HIGH or MEDIUM are issues that either break user-visible links, fail the master pipeline, or have carried across at least two audit cycles.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