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color w:val="1A1A1A"/>
          <w:sz w:val="40"/>
          <w:szCs w:val="40"/>
        </w:rPr>
        <w:t xml:space="preserve">Platform Audit</w:t>
      </w:r>
    </w:p>
    <w:p>
      <w:pPr>
        <w:pBdr>
          <w:bottom w:val="single" w:color="1A1A1A" w:sz="2"/>
        </w:pBdr>
        <w:spacing w:after="60"/>
      </w:pPr>
      <w:r>
        <w:rPr>
          <w:rFonts w:ascii="Georgia" w:cs="Georgia" w:eastAsia="Georgia" w:hAnsi="Georgia"/>
          <w:color w:val="404040"/>
          <w:sz w:val="22"/>
          <w:szCs w:val="22"/>
        </w:rPr>
        <w:t xml:space="preserve">Diabetes Research Hub  ·  week of 2026-09-20</w:t>
      </w:r>
    </w:p>
    <w:p>
      <w:pPr>
        <w:spacing w:after="280" w:before="0" w:line="276"/>
      </w:pPr>
      <w:r>
        <w:rPr>
          <w:rFonts w:ascii="Calibri" w:cs="Calibri" w:eastAsia="Calibri" w:hAnsi="Calibri"/>
          <w:color w:val="636363"/>
          <w:sz w:val="16"/>
          <w:szCs w:val="16"/>
        </w:rPr>
        <w:t xml:space="preserve">bottumj.github.io/diabetes-research-hub  ·  35 dashboards  ·  3.88 MB published  ·  1,142 distinct PubMed citations</w:t>
      </w:r>
    </w:p>
    <w:p>
      <w:pPr>
        <w:pStyle w:val="Heading1"/>
        <w:pBdr>
          <w:bottom w:val="single" w:color="1A1A1A" w:sz="2"/>
        </w:pBdr>
        <w:spacing w:after="160" w:before="400"/>
      </w:pPr>
      <w:r>
        <w:rPr>
          <w:rFonts w:ascii="Georgia" w:cs="Georgia" w:eastAsia="Georgia" w:hAnsi="Georgia"/>
          <w:b/>
          <w:bCs/>
          <w:color w:val="1A1A1A"/>
          <w:sz w:val="26"/>
          <w:szCs w:val="26"/>
        </w:rPr>
        <w:t xml:space="preserve">The finding that should change what you do next</w:t>
      </w:r>
    </w:p>
    <w:p>
      <w:pPr>
        <w:spacing w:after="160" w:before="0" w:line="276"/>
      </w:pPr>
      <w:r>
        <w:rPr>
          <w:rFonts w:ascii="Georgia" w:cs="Georgia" w:eastAsia="Georgia" w:hAnsi="Georgia"/>
          <w:b/>
          <w:bCs/>
          <w:color w:val="1A1A1A"/>
          <w:sz w:val="21"/>
          <w:szCs w:val="21"/>
        </w:rPr>
        <w:t xml:space="preserve">Nothing in this report has been seen by a reader. </w:t>
      </w:r>
      <w:r>
        <w:rPr>
          <w:rFonts w:ascii="Georgia" w:cs="Georgia" w:eastAsia="Georgia" w:hAnsi="Georgia"/>
          <w:color w:val="1A1A1A"/>
          <w:sz w:val="21"/>
          <w:szCs w:val="21"/>
        </w:rPr>
        <w:t xml:space="preserve">The live site served at bottumj.github.io is the 2026-04-19 build. Local HEAD is 117 commits ahead of origin/main, whose tip is dated 2026-04-20. The published landing page states "Last updated: 2026-04-19" and advertises 767 clinical trials; the local landing page states 2026-09-20 and 858. Five months of work — the nav bar, the citation gates, sixteen dashboards' worth of corrections — exists only on your machine.</w:t>
      </w:r>
    </w:p>
    <w:p>
      <w:pPr>
        <w:spacing w:after="160" w:before="0" w:line="276"/>
      </w:pPr>
      <w:r>
        <w:rPr>
          <w:rFonts w:ascii="Georgia" w:cs="Georgia" w:eastAsia="Georgia" w:hAnsi="Georgia"/>
          <w:color w:val="1A1A1A"/>
          <w:sz w:val="21"/>
          <w:szCs w:val="21"/>
        </w:rPr>
        <w:t xml:space="preserve">This was last week's MEDIUM finding #8, recorded as "unverified." It is now verified, and it is red. </w:t>
      </w:r>
      <w:r>
        <w:rPr>
          <w:rFonts w:ascii="Georgia" w:cs="Georgia" w:eastAsia="Georgia" w:hAnsi="Georgia"/>
          <w:b/>
          <w:bCs/>
          <w:color w:val="1A1A1A"/>
          <w:sz w:val="21"/>
          <w:szCs w:val="21"/>
        </w:rPr>
        <w:t xml:space="preserve">Every other finding below describes files that no visitor can load.</w:t>
      </w:r>
    </w:p>
    <w:p>
      <w:pPr>
        <w:spacing w:after="80" w:before="0" w:line="276"/>
      </w:pPr>
      <w:r>
        <w:rPr>
          <w:rFonts w:ascii="Georgia" w:cs="Georgia" w:eastAsia="Georgia" w:hAnsi="Georgia"/>
          <w:color w:val="1A1A1A"/>
          <w:sz w:val="21"/>
          <w:szCs w:val="21"/>
        </w:rPr>
        <w:t xml:space="preserve">The audit script cannot fix this. Publishing requires credentials, and an unattended run does not have them and should not want them. The action is yours and it is one command.</w:t>
      </w:r>
    </w:p>
    <w:p>
      <w:pPr>
        <w:pBdr>
          <w:left w:val="single" w:color="1A1A1A" w:sz="2"/>
        </w:pBdr>
        <w:spacing w:after="200" w:before="60"/>
        <w:ind w:left="431"/>
      </w:pPr>
      <w:r>
        <w:rPr>
          <w:rFonts w:ascii="Consolas" w:cs="Consolas" w:eastAsia="Consolas" w:hAnsi="Consolas"/>
          <w:color w:val="1A1A1A"/>
          <w:sz w:val="18"/>
          <w:szCs w:val="18"/>
        </w:rPr>
        <w:t xml:space="preserve">  cd C:\Users\justi\OneDrive\Diabetes_Research  ·  git push origin main</w:t>
      </w:r>
    </w:p>
    <w:p>
      <w:pPr>
        <w:pStyle w:val="Heading1"/>
        <w:pBdr>
          <w:bottom w:val="single" w:color="1A1A1A" w:sz="2"/>
        </w:pBdr>
        <w:spacing w:after="160" w:before="400"/>
      </w:pPr>
      <w:r>
        <w:rPr>
          <w:rFonts w:ascii="Georgia" w:cs="Georgia" w:eastAsia="Georgia" w:hAnsi="Georgia"/>
          <w:b/>
          <w:bCs/>
          <w:color w:val="1A1A1A"/>
          <w:sz w:val="26"/>
          <w:szCs w:val="26"/>
        </w:rPr>
        <w:t xml:space="preserve">Summary</w:t>
      </w:r>
    </w:p>
    <w:tbl>
      <w:tblPr>
        <w:tblW w:type="dxa" w:w="9360"/>
        <w:tblBorders>
          <w:top w:val="none"/>
          <w:left w:val="none"/>
          <w:bottom w:val="none"/>
          <w:right w:val="none"/>
          <w:insideH w:val="none"/>
          <w:insideV w:val="none"/>
        </w:tblBorders>
      </w:tblPr>
      <w:tblGrid>
        <w:gridCol w:w="5760"/>
        <w:gridCol w:w="1900"/>
        <w:gridCol w:w="1700"/>
      </w:tblGrid>
      <w:tr>
        <w:trPr>
          <w:tblHeader/>
        </w:trPr>
        <w:tc>
          <w:tcPr>
            <w:tcW w:type="dxa" w:w="576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Check</w:t>
            </w:r>
          </w:p>
        </w:tc>
        <w:tc>
          <w:tcPr>
            <w:tcW w:type="dxa" w:w="19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Result</w:t>
            </w:r>
          </w:p>
        </w:tc>
        <w:tc>
          <w:tcPr>
            <w:tcW w:type="dxa" w:w="17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Status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Dashboards published under docs/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35</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Nav bar present, source AND published copies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35 / 35</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Back-link to hub, correct depth both trees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35 / 35</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docs/ byte-identical to source (modulo back-link depth)</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35 / 35</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Landing-page relative links resolving</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1,400 / 1,400</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Dashboards listed on landing page</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34 / 35</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FAIL</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Published dashboards with zero clickable citation</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FAIL</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Broken citation hyperlinks on published pages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11 across 3 files</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FAIL</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PMIDs published as unlinked bare text</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0</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One PMID carrying two different study titles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0</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Builder scripts that parse</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156 / 156</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Impossible / out-of-range PMIDs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0 of 352</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NCT identifiers agreeing with ClinicalTrials.gov</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30 / 30</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Advertised markdown reports, oldest-input age</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0–1 d, inside window</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Clinical-trial total, figures in circulation</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 different numbers</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FAIL</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Live site freshness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154 days stale</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FAIL</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Muted text #636363 on #fafaf7</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5.75 : 1</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 (AA)</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Tables carrying &lt;th&gt; header markup</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35 / 35</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CONTRIBUTING.md · issue templates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present · 4</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r>
        <w:tc>
          <w:tcPr>
            <w:tcW w:type="dxa" w:w="576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CI workflows enforcing any gate</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0</w:t>
            </w:r>
          </w:p>
        </w:tc>
        <w:tc>
          <w:tcPr>
            <w:tcW w:type="dxa" w:w="17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FAIL</w:t>
            </w:r>
          </w:p>
        </w:tc>
      </w:tr>
      <w:tr>
        <w:tc>
          <w:tcPr>
            <w:tcW w:type="dxa" w:w="576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CITATION.cff · CODE_OF_CONDUCT.md · PR template</w:t>
            </w:r>
          </w:p>
        </w:tc>
        <w:tc>
          <w:tcPr>
            <w:tcW w:type="dxa" w:w="19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absent</w:t>
            </w:r>
          </w:p>
        </w:tc>
        <w:tc>
          <w:tcPr>
            <w:tcW w:type="dxa" w:w="17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8A6A1F"/>
                <w:sz w:val="16"/>
                <w:szCs w:val="16"/>
              </w:rPr>
              <w:t xml:space="preserve">fail (low)</w:t>
            </w:r>
          </w:p>
        </w:tc>
      </w:tr>
    </w:tbl>
    <w:p>
      <w:pPr>
        <w:spacing w:after="0" w:before="160" w:line="276"/>
      </w:pPr>
      <w:r>
        <w:rPr>
          <w:rFonts w:ascii="Calibri" w:cs="Calibri" w:eastAsia="Calibri" w:hAnsi="Calibri"/>
          <w:color w:val="636363"/>
          <w:sz w:val="16"/>
          <w:szCs w:val="16"/>
        </w:rPr>
        <w:t xml:space="preserve">Findings open: 5 HIGH · 4 MEDIUM · 4 LOW. Prior week: 3 HIGH · 5 MEDIUM · 3 LOW.</w:t>
      </w:r>
    </w:p>
    <w:p>
      <w:r>
        <w:br w:type="page"/>
      </w:r>
    </w:p>
    <w:p>
      <w:pPr>
        <w:pStyle w:val="Heading1"/>
        <w:pBdr>
          <w:bottom w:val="single" w:color="1A1A1A" w:sz="2"/>
        </w:pBdr>
        <w:spacing w:after="160" w:before="400"/>
      </w:pPr>
      <w:r>
        <w:rPr>
          <w:rFonts w:ascii="Georgia" w:cs="Georgia" w:eastAsia="Georgia" w:hAnsi="Georgia"/>
          <w:b/>
          <w:bCs/>
          <w:color w:val="1A1A1A"/>
          <w:sz w:val="26"/>
          <w:szCs w:val="26"/>
        </w:rPr>
        <w:t xml:space="preserve">Dashboard status</w:t>
      </w:r>
    </w:p>
    <w:p>
      <w:pPr>
        <w:spacing w:after="140" w:before="0" w:line="276"/>
      </w:pPr>
      <w:r>
        <w:rPr>
          <w:rFonts w:ascii="Calibri" w:cs="Calibri" w:eastAsia="Calibri" w:hAnsi="Calibri"/>
          <w:color w:val="636363"/>
          <w:sz w:val="16"/>
          <w:szCs w:val="16"/>
        </w:rPr>
        <w:t xml:space="preserve">Size and PMID count measured on the published copy under docs/Dashboards/. "PMIDs" counts distinct pubmed.ncbi.nlm.nih.gov hyperlink targets, not prose mentions. Nav and back-link are required to be present in BOTH trees to score a check.</w:t>
      </w:r>
    </w:p>
    <w:tbl>
      <w:tblPr>
        <w:tblW w:type="dxa" w:w="9360"/>
        <w:tblBorders>
          <w:top w:val="none"/>
          <w:left w:val="none"/>
          <w:bottom w:val="none"/>
          <w:right w:val="none"/>
          <w:insideH w:val="none"/>
          <w:insideV w:val="none"/>
        </w:tblBorders>
      </w:tblPr>
      <w:tblGrid>
        <w:gridCol w:w="2450"/>
        <w:gridCol w:w="620"/>
        <w:gridCol w:w="620"/>
        <w:gridCol w:w="520"/>
        <w:gridCol w:w="620"/>
        <w:gridCol w:w="3230"/>
        <w:gridCol w:w="1300"/>
      </w:tblGrid>
      <w:tr>
        <w:trPr>
          <w:tblHeader/>
        </w:trPr>
        <w:tc>
          <w:tcPr>
            <w:tcW w:type="dxa" w:w="245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Dashboard</w:t>
            </w:r>
          </w:p>
        </w:tc>
        <w:tc>
          <w:tcPr>
            <w:tcW w:type="dxa" w:w="62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KB</w:t>
            </w:r>
          </w:p>
        </w:tc>
        <w:tc>
          <w:tcPr>
            <w:tcW w:type="dxa" w:w="62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PMIDs</w:t>
            </w:r>
          </w:p>
        </w:tc>
        <w:tc>
          <w:tcPr>
            <w:tcW w:type="dxa" w:w="520"/>
            <w:tcBorders>
              <w:top w:val="none"/>
              <w:left w:val="none"/>
              <w:bottom w:val="single" w:color="1A1A1A" w:sz="2"/>
              <w:right w:val="none"/>
            </w:tcBorders>
            <w:tcMar>
              <w:top w:type="dxa" w:w="60"/>
              <w:left w:type="dxa" w:w="80"/>
              <w:bottom w:type="dxa" w:w="60"/>
              <w:right w:type="dxa" w:w="80"/>
            </w:tcMar>
          </w:tcPr>
          <w:p>
            <w:pPr>
              <w:spacing w:after="0" w:line="240"/>
              <w:jc w:val="center"/>
            </w:pPr>
            <w:r>
              <w:rPr>
                <w:rFonts w:ascii="Calibri" w:cs="Calibri" w:eastAsia="Calibri" w:hAnsi="Calibri"/>
                <w:b/>
                <w:bCs/>
                <w:color w:val="1A1A1A"/>
                <w:sz w:val="15"/>
                <w:szCs w:val="15"/>
              </w:rPr>
              <w:t xml:space="preserve">Nav</w:t>
            </w:r>
          </w:p>
        </w:tc>
        <w:tc>
          <w:tcPr>
            <w:tcW w:type="dxa" w:w="620"/>
            <w:tcBorders>
              <w:top w:val="none"/>
              <w:left w:val="none"/>
              <w:bottom w:val="single" w:color="1A1A1A" w:sz="2"/>
              <w:right w:val="none"/>
            </w:tcBorders>
            <w:tcMar>
              <w:top w:type="dxa" w:w="60"/>
              <w:left w:type="dxa" w:w="80"/>
              <w:bottom w:type="dxa" w:w="60"/>
              <w:right w:type="dxa" w:w="80"/>
            </w:tcMar>
          </w:tcPr>
          <w:p>
            <w:pPr>
              <w:spacing w:after="0" w:line="240"/>
              <w:jc w:val="center"/>
            </w:pPr>
            <w:r>
              <w:rPr>
                <w:rFonts w:ascii="Calibri" w:cs="Calibri" w:eastAsia="Calibri" w:hAnsi="Calibri"/>
                <w:b/>
                <w:bCs/>
                <w:color w:val="1A1A1A"/>
                <w:sz w:val="15"/>
                <w:szCs w:val="15"/>
              </w:rPr>
              <w:t xml:space="preserve">Back</w:t>
            </w:r>
          </w:p>
        </w:tc>
        <w:tc>
          <w:tcPr>
            <w:tcW w:type="dxa" w:w="323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Issues found</w:t>
            </w:r>
          </w:p>
        </w:tc>
        <w:tc>
          <w:tcPr>
            <w:tcW w:type="dxa" w:w="13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Priority</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Acronym Database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95</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0</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no clickable citation; 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HIGH</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CART Access Barriers</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90</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13</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Clinical Trial Dashboard</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479</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Corpus Analysis</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94</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only 1 PMID; 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8A6A1F"/>
                <w:sz w:val="16"/>
                <w:szCs w:val="16"/>
              </w:rPr>
              <w:t xml:space="preserve">MEDIUM</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Drug Repurposing Islet</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62</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9 broken citation links; 3 dead anchors (cosmetic); 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HIGH</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Drug Repurposing Screen</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117</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Equity Map</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83</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Extracted Evidence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100</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53</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9A9A9A"/>
                <w:sz w:val="16"/>
                <w:szCs w:val="16"/>
              </w:rPr>
              <w:t xml:space="preserve"/>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GKA LADA</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47</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14</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GKA Landscape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68</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10</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GKA Pricing</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58</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12</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Gap Deep Dives</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224</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23</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Gap Evidence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231</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84</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Gap Synthesis</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124</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8</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Generic Drug Catalog</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58</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Health Equity</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89</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15</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1 broken citation link; 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HIGH</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Immunomod LADA</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53</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Islet Drug Repurposing</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119</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2</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only 2 PMIDs; 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8A6A1F"/>
                <w:sz w:val="16"/>
                <w:szCs w:val="16"/>
              </w:rPr>
              <w:t xml:space="preserve">MEDIUM</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Islet Transplant Analysis</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87</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Islet Transplant Equity</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48</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5</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LADA Diagnostic Model</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66</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7</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LADA Natural History</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62</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LADA Prevalence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57</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Medical Data Dictionary</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361</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91</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Methodology</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67</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0</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no clickable citation; 1 dead anchor (cosmetic); 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HIGH</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Nutrition Beta Cells</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49</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10</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Nutrition LADA</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61</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15</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PMID Verification</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222</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334</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Paper Library</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268</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351</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Prediction Ledger</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94</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0</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no clickable citation; not linked from landing page; nav CSS injected 54x</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HIGH</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Research Dashboard</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69</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Research Paths</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75</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8</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9A9A9A"/>
                <w:sz w:val="16"/>
                <w:szCs w:val="16"/>
              </w:rPr>
              <w:t xml:space="preserve"/>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Statistical Analysis</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48</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Treg Neuropathy</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72</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w:t>
            </w:r>
          </w:p>
        </w:tc>
        <w:tc>
          <w:tcPr>
            <w:tcW w:type="dxa" w:w="5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E8E8E8"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nav CSS duplicated</w:t>
            </w:r>
          </w:p>
        </w:tc>
        <w:tc>
          <w:tcPr>
            <w:tcW w:type="dxa" w:w="13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636363"/>
                <w:sz w:val="16"/>
                <w:szCs w:val="16"/>
              </w:rPr>
              <w:t xml:space="preserve">LOW</w:t>
            </w:r>
          </w:p>
        </w:tc>
      </w:tr>
      <w:tr>
        <w:tc>
          <w:tcPr>
            <w:tcW w:type="dxa" w:w="245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Trial Equity Mapper</w:t>
            </w:r>
          </w:p>
        </w:tc>
        <w:tc>
          <w:tcPr>
            <w:tcW w:type="dxa" w:w="62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76</w:t>
            </w:r>
          </w:p>
        </w:tc>
        <w:tc>
          <w:tcPr>
            <w:tcW w:type="dxa" w:w="62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8</w:t>
            </w:r>
          </w:p>
        </w:tc>
        <w:tc>
          <w:tcPr>
            <w:tcW w:type="dxa" w:w="520"/>
            <w:tcBorders>
              <w:top w:val="none"/>
              <w:left w:val="none"/>
              <w:bottom w:val="single" w:color="1A1A1A"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620"/>
            <w:tcBorders>
              <w:top w:val="none"/>
              <w:left w:val="none"/>
              <w:bottom w:val="single" w:color="1A1A1A" w:sz="2"/>
              <w:right w:val="none"/>
            </w:tcBorders>
            <w:tcMar>
              <w:top w:type="dxa" w:w="60"/>
              <w:left w:type="dxa" w:w="80"/>
              <w:bottom w:type="dxa" w:w="60"/>
              <w:right w:type="dxa" w:w="80"/>
            </w:tcMar>
          </w:tcPr>
          <w:p>
            <w:pPr>
              <w:spacing w:after="0" w:line="240"/>
              <w:jc w:val="center"/>
            </w:pPr>
            <w:r>
              <w:rPr>
                <w:rFonts w:ascii="Calibri" w:cs="Calibri" w:eastAsia="Calibri" w:hAnsi="Calibri"/>
                <w:b w:val="false"/>
                <w:bCs w:val="false"/>
                <w:color w:val="1A1A1A"/>
                <w:sz w:val="16"/>
                <w:szCs w:val="16"/>
              </w:rPr>
              <w:t xml:space="preserve">✓</w:t>
            </w:r>
          </w:p>
        </w:tc>
        <w:tc>
          <w:tcPr>
            <w:tcW w:type="dxa" w:w="323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404040"/>
                <w:sz w:val="16"/>
                <w:szCs w:val="16"/>
              </w:rPr>
              <w:t xml:space="preserve">1 broken citation link; nav CSS duplicated</w:t>
            </w:r>
          </w:p>
        </w:tc>
        <w:tc>
          <w:tcPr>
            <w:tcW w:type="dxa" w:w="13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A03024"/>
                <w:sz w:val="16"/>
                <w:szCs w:val="16"/>
              </w:rPr>
              <w:t xml:space="preserve">HIGH</w:t>
            </w:r>
          </w:p>
        </w:tc>
      </w:tr>
    </w:tbl>
    <w:p>
      <w:pPr>
        <w:spacing w:after="0" w:before="140" w:line="276"/>
      </w:pPr>
      <w:r>
        <w:rPr>
          <w:rFonts w:ascii="Calibri" w:cs="Calibri" w:eastAsia="Calibri" w:hAnsi="Calibri"/>
          <w:color w:val="636363"/>
          <w:sz w:val="16"/>
          <w:szCs w:val="16"/>
        </w:rPr>
        <w:t xml:space="preserve">Totals: 3,973 KB · 1,142 distinct PMIDs · 35/35 nav · 35/35 back-link.</w:t>
      </w:r>
    </w:p>
    <w:p>
      <w:r>
        <w:br w:type="page"/>
      </w:r>
    </w:p>
    <w:p>
      <w:pPr>
        <w:pStyle w:val="Heading1"/>
        <w:pBdr>
          <w:bottom w:val="single" w:color="1A1A1A" w:sz="2"/>
        </w:pBdr>
        <w:spacing w:after="160" w:before="400"/>
      </w:pPr>
      <w:r>
        <w:rPr>
          <w:rFonts w:ascii="Georgia" w:cs="Georgia" w:eastAsia="Georgia" w:hAnsi="Georgia"/>
          <w:b/>
          <w:bCs/>
          <w:color w:val="1A1A1A"/>
          <w:sz w:val="26"/>
          <w:szCs w:val="26"/>
        </w:rPr>
        <w:t xml:space="preserve">1 · Navigation and UX consistency</w:t>
      </w:r>
    </w:p>
    <w:p>
      <w:pPr>
        <w:pStyle w:val="Heading2"/>
        <w:spacing w:after="100" w:before="280"/>
      </w:pPr>
      <w:r>
        <w:rPr>
          <w:rFonts w:ascii="Georgia" w:cs="Georgia" w:eastAsia="Georgia" w:hAnsi="Georgia"/>
          <w:b/>
          <w:bCs/>
          <w:color w:val="1A1A1A"/>
          <w:sz w:val="22"/>
          <w:szCs w:val="22"/>
        </w:rPr>
        <w:t xml:space="preserve">Last week's HIGH #1 is closed — and it reopened while this audit ran</w:t>
      </w:r>
    </w:p>
    <w:p>
      <w:pPr>
        <w:spacing w:after="140" w:before="0" w:line="276"/>
      </w:pPr>
      <w:r>
        <w:rPr>
          <w:rFonts w:ascii="Georgia" w:cs="Georgia" w:eastAsia="Georgia" w:hAnsi="Georgia"/>
          <w:color w:val="1A1A1A"/>
          <w:sz w:val="21"/>
          <w:szCs w:val="21"/>
        </w:rPr>
        <w:t xml:space="preserve">Last week 24 of 35 source files were missing the nav bar that all 35 published files carried, meaning the next sync would delete navigation from two-thirds of the site. Measured today: 35/35 source files and 35/35 published files carry it. The instance is fixed.</w:t>
      </w:r>
    </w:p>
    <w:p>
      <w:pPr>
        <w:spacing w:after="140" w:before="0" w:line="276"/>
      </w:pPr>
      <w:r>
        <w:rPr>
          <w:rFonts w:ascii="Georgia" w:cs="Georgia" w:eastAsia="Georgia" w:hAnsi="Georgia"/>
          <w:color w:val="1A1A1A"/>
          <w:sz w:val="21"/>
          <w:szCs w:val="21"/>
        </w:rPr>
        <w:t xml:space="preserve">The class is not. </w:t>
      </w:r>
      <w:r>
        <w:rPr>
          <w:rFonts w:ascii="Georgia" w:cs="Georgia" w:eastAsia="Georgia" w:hAnsi="Georgia"/>
          <w:color w:val="1A1A1A"/>
          <w:sz w:val="21"/>
          <w:szCs w:val="21"/>
        </w:rPr>
        <w:t xml:space="preserve">This audit ran the pipeline, reached stage 3 of roughly sixty, and stopped on a sandbox timeout. In those three minutes rebuild_clinical_trial_dashboard.py and rebuild_research_dashboard.py had already stripped the nav bar from their own output — drh-nav occurrences fell from 23 to 0 in both files. </w:t>
      </w:r>
      <w:r>
        <w:rPr>
          <w:rFonts w:ascii="Georgia" w:cs="Georgia" w:eastAsia="Georgia" w:hAnsi="Georgia"/>
          <w:b/>
          <w:bCs/>
          <w:color w:val="1A1A1A"/>
          <w:sz w:val="21"/>
          <w:szCs w:val="21"/>
        </w:rPr>
        <w:t xml:space="preserve">The recommendation from last week (move nav injection into the shared builder template) was not adopted; nav was re-injected by a post-pass instead, and the post-pass is still revertible by any builder that runs after it.</w:t>
      </w:r>
    </w:p>
    <w:p>
      <w:pPr>
        <w:spacing w:after="160" w:before="0" w:line="276"/>
      </w:pPr>
      <w:r>
        <w:rPr>
          <w:rFonts w:ascii="Calibri" w:cs="Calibri" w:eastAsia="Calibri" w:hAnsi="Calibri"/>
          <w:color w:val="636363"/>
          <w:sz w:val="16"/>
          <w:szCs w:val="16"/>
        </w:rPr>
        <w:t xml:space="preserve">Evidence: partial pipeline run 2026-09-20 14:05 UTC, git diff over Dashboards/. Both files were restored from HEAD; the repository was left as found.</w:t>
      </w:r>
    </w:p>
    <w:p>
      <w:pPr>
        <w:pStyle w:val="Heading2"/>
        <w:spacing w:after="100" w:before="280"/>
      </w:pPr>
      <w:r>
        <w:rPr>
          <w:rFonts w:ascii="Georgia" w:cs="Georgia" w:eastAsia="Georgia" w:hAnsi="Georgia"/>
          <w:b/>
          <w:bCs/>
          <w:color w:val="1A1A1A"/>
          <w:sz w:val="22"/>
          <w:szCs w:val="22"/>
        </w:rPr>
        <w:t xml:space="preserve">The post-pass is also not idempotent</w:t>
      </w:r>
    </w:p>
    <w:p>
      <w:pPr>
        <w:spacing w:after="140" w:before="0" w:line="276"/>
      </w:pPr>
      <w:r>
        <w:rPr>
          <w:rFonts w:ascii="Georgia" w:cs="Georgia" w:eastAsia="Georgia" w:hAnsi="Georgia"/>
          <w:color w:val="1A1A1A"/>
          <w:sz w:val="21"/>
          <w:szCs w:val="21"/>
        </w:rPr>
        <w:t xml:space="preserve">Every one of the 35 dashboards contains the nav-bar CSS block twice. Prediction_Ledger.html contains it fifty-four times. Roughly 1.4 KB of the 3.97 MB published payload is duplicated stylesheet, which is trivial; what it proves is not. A pass that appends without checking for its own prior output has run repeatedly on the same files, and nothing measures that.</w:t>
      </w:r>
    </w:p>
    <w:p>
      <w:pPr>
        <w:pStyle w:val="Heading2"/>
        <w:spacing w:after="100" w:before="280"/>
      </w:pPr>
      <w:r>
        <w:rPr>
          <w:rFonts w:ascii="Georgia" w:cs="Georgia" w:eastAsia="Georgia" w:hAnsi="Georgia"/>
          <w:b/>
          <w:bCs/>
          <w:color w:val="1A1A1A"/>
          <w:sz w:val="22"/>
          <w:szCs w:val="22"/>
        </w:rPr>
        <w:t xml:space="preserve">Prediction_Ledger.html is still an orphan</w:t>
      </w:r>
    </w:p>
    <w:p>
      <w:pPr>
        <w:spacing w:after="140" w:before="0" w:line="276"/>
      </w:pPr>
      <w:r>
        <w:rPr>
          <w:rFonts w:ascii="Georgia" w:cs="Georgia" w:eastAsia="Georgia" w:hAnsi="Georgia"/>
          <w:color w:val="1A1A1A"/>
          <w:sz w:val="21"/>
          <w:szCs w:val="21"/>
        </w:rPr>
        <w:t xml:space="preserve">Thirty-four dashboard cards on the landing page, thirty-five files on disk. Prediction_Ledger.html is published and reachable only by typing its URL. It was finding #4 last week and is unchanged. It is also the file with 54 nav injections and zero citations — three findings on one page suggests it sits outside whatever loop maintains the others.</w:t>
      </w:r>
    </w:p>
    <w:p>
      <w:pPr>
        <w:spacing w:after="0" w:before="0" w:line="276"/>
      </w:pPr>
      <w:r>
        <w:rPr>
          <w:rFonts w:ascii="Georgia" w:cs="Georgia" w:eastAsia="Georgia" w:hAnsi="Georgia"/>
          <w:color w:val="1A1A1A"/>
          <w:sz w:val="21"/>
          <w:szCs w:val="21"/>
        </w:rPr>
        <w:t xml:space="preserve">Everything else here passes. All 1,400 relative links under docs/ resolve. Back-link depth is correct in both trees (../docs/index.html in source, ../index.html published — the sync rewrites it, as designed). Source and published copies are byte-identical apart from that one line.</w:t>
      </w:r>
    </w:p>
    <w:p>
      <w:pPr>
        <w:pStyle w:val="Heading1"/>
        <w:pBdr>
          <w:bottom w:val="single" w:color="1A1A1A" w:sz="2"/>
        </w:pBdr>
        <w:spacing w:after="160" w:before="400"/>
      </w:pPr>
      <w:r>
        <w:rPr>
          <w:rFonts w:ascii="Georgia" w:cs="Georgia" w:eastAsia="Georgia" w:hAnsi="Georgia"/>
          <w:b/>
          <w:bCs/>
          <w:color w:val="1A1A1A"/>
          <w:sz w:val="26"/>
          <w:szCs w:val="26"/>
        </w:rPr>
        <w:t xml:space="preserve">2 · Research validity and citation completeness</w:t>
      </w:r>
    </w:p>
    <w:p>
      <w:pPr>
        <w:pStyle w:val="Heading2"/>
        <w:spacing w:after="100" w:before="280"/>
      </w:pPr>
      <w:r>
        <w:rPr>
          <w:rFonts w:ascii="Georgia" w:cs="Georgia" w:eastAsia="Georgia" w:hAnsi="Georgia"/>
          <w:b/>
          <w:bCs/>
          <w:color w:val="1A1A1A"/>
          <w:sz w:val="22"/>
          <w:szCs w:val="22"/>
        </w:rPr>
        <w:t xml:space="preserve">Eleven citation links promise a source and deliver nothing</w:t>
      </w:r>
    </w:p>
    <w:p>
      <w:pPr>
        <w:spacing w:after="140" w:before="0" w:line="276"/>
      </w:pPr>
      <w:r>
        <w:rPr>
          <w:rFonts w:ascii="Georgia" w:cs="Georgia" w:eastAsia="Georgia" w:hAnsi="Georgia"/>
          <w:color w:val="1A1A1A"/>
          <w:sz w:val="21"/>
          <w:szCs w:val="21"/>
        </w:rPr>
        <w:t xml:space="preserve">This is new and it is the most damaging citation defect the platform has carried, because it fails in the direction that looks like diligence. A reader sees a citation, clicks it, and lands on a PubMed error page or PubMed's front page — never the study the link named.</w:t>
      </w:r>
    </w:p>
    <w:tbl>
      <w:tblPr>
        <w:tblW w:type="dxa" w:w="9340"/>
        <w:tblBorders>
          <w:top w:val="none"/>
          <w:left w:val="none"/>
          <w:bottom w:val="none"/>
          <w:right w:val="none"/>
          <w:insideH w:val="none"/>
          <w:insideV w:val="none"/>
        </w:tblBorders>
      </w:tblPr>
      <w:tblGrid>
        <w:gridCol w:w="2900"/>
        <w:gridCol w:w="900"/>
        <w:gridCol w:w="5540"/>
      </w:tblGrid>
      <w:tr>
        <w:trPr>
          <w:tblHeader/>
        </w:trPr>
        <w:tc>
          <w:tcPr>
            <w:tcW w:type="dxa" w:w="29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File</w:t>
            </w:r>
          </w:p>
        </w:tc>
        <w:tc>
          <w:tcPr>
            <w:tcW w:type="dxa" w:w="9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Count</w:t>
            </w:r>
          </w:p>
        </w:tc>
        <w:tc>
          <w:tcPr>
            <w:tcW w:type="dxa" w:w="55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Example href</w:t>
            </w:r>
          </w:p>
        </w:tc>
      </w:tr>
      <w:tr>
        <w:tc>
          <w:tcPr>
            <w:tcW w:type="dxa" w:w="29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Drug_Repurposing_Islet</w:t>
            </w:r>
          </w:p>
        </w:tc>
        <w:tc>
          <w:tcPr>
            <w:tcW w:type="dxa" w:w="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9</w:t>
            </w:r>
          </w:p>
        </w:tc>
        <w:tc>
          <w:tcPr>
            <w:tcW w:type="dxa" w:w="5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pubmed…/BANDIT trial   — 8 prose, 1 NCT id</w:t>
            </w:r>
          </w:p>
        </w:tc>
      </w:tr>
      <w:tr>
        <w:tc>
          <w:tcPr>
            <w:tcW w:type="dxa" w:w="29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Trial_Equity_Mapper</w:t>
            </w:r>
          </w:p>
        </w:tc>
        <w:tc>
          <w:tcPr>
            <w:tcW w:type="dxa" w:w="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w:t>
            </w:r>
          </w:p>
        </w:tc>
        <w:tc>
          <w:tcPr>
            <w:tcW w:type="dxa" w:w="5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clinicaltrials…/UNSOURCED (identifier withdrawn 2026-09-02)</w:t>
            </w:r>
          </w:p>
        </w:tc>
      </w:tr>
      <w:tr>
        <w:tc>
          <w:tcPr>
            <w:tcW w:type="dxa" w:w="29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Health_Equity</w:t>
            </w:r>
          </w:p>
        </w:tc>
        <w:tc>
          <w:tcPr>
            <w:tcW w:type="dxa" w:w="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w:t>
            </w:r>
          </w:p>
        </w:tc>
        <w:tc>
          <w:tcPr>
            <w:tcW w:type="dxa" w:w="5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pubmed…/  — link text promises "CDC NDSS"</w:t>
            </w:r>
          </w:p>
        </w:tc>
      </w:tr>
      <w:tr>
        <w:tc>
          <w:tcPr>
            <w:tcW w:type="dxa" w:w="29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6"/>
                <w:szCs w:val="16"/>
              </w:rPr>
              <w:t xml:space="preserve">Broken, total</w:t>
            </w:r>
          </w:p>
        </w:tc>
        <w:tc>
          <w:tcPr>
            <w:tcW w:type="dxa" w:w="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6"/>
                <w:szCs w:val="16"/>
              </w:rPr>
              <w:t xml:space="preserve">11</w:t>
            </w:r>
          </w:p>
        </w:tc>
        <w:tc>
          <w:tcPr>
            <w:tcW w:type="dxa" w:w="5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6"/>
                <w:szCs w:val="16"/>
              </w:rPr>
              <w:t xml:space="preserve">a reader clicks and does not get the source named</w:t>
            </w:r>
          </w:p>
        </w:tc>
      </w:tr>
      <w:tr>
        <w:tc>
          <w:tcPr>
            <w:tcW w:type="dxa" w:w="29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6"/>
                <w:szCs w:val="16"/>
              </w:rPr>
              <w:t xml:space="preserve">Cosmetic, separately</w:t>
            </w:r>
          </w:p>
        </w:tc>
        <w:tc>
          <w:tcPr>
            <w:tcW w:type="dxa" w:w="9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6"/>
                <w:szCs w:val="16"/>
              </w:rPr>
              <w:t xml:space="preserve">4</w:t>
            </w:r>
          </w:p>
        </w:tc>
        <w:tc>
          <w:tcPr>
            <w:tcW w:type="dxa" w:w="55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6"/>
                <w:szCs w:val="16"/>
              </w:rPr>
              <w:t xml:space="preserve">3 empty anchors with no link text · 1 PMID:XXXXXXX example</w:t>
            </w:r>
          </w:p>
        </w:tc>
      </w:tr>
    </w:tbl>
    <w:p>
      <w:pPr>
        <w:pStyle w:val="Heading3"/>
        <w:spacing w:after="80" w:before="200"/>
      </w:pPr>
      <w:r>
        <w:rPr>
          <w:rFonts w:ascii="Calibri" w:cs="Calibri" w:eastAsia="Calibri" w:hAnsi="Calibri"/>
          <w:b/>
          <w:bCs/>
          <w:color w:val="404040"/>
          <w:sz w:val="19"/>
          <w:szCs w:val="19"/>
        </w:rPr>
        <w:t xml:space="preserve">Root cause</w:t>
      </w:r>
    </w:p>
    <w:p>
      <w:pPr>
        <w:pBdr>
          <w:left w:val="single" w:color="A03024" w:sz="2"/>
        </w:pBdr>
        <w:spacing w:after="80" w:before="80"/>
        <w:ind w:left="431"/>
      </w:pPr>
      <w:r>
        <w:rPr>
          <w:rFonts w:ascii="Consolas" w:cs="Consolas" w:eastAsia="Consolas" w:hAnsi="Consolas"/>
          <w:color w:val="636363"/>
          <w:sz w:val="16"/>
          <w:szCs w:val="16"/>
        </w:rPr>
        <w:t xml:space="preserve">  build_drug_repurposing_islet.py:757</w:t>
      </w:r>
    </w:p>
    <w:p>
      <w:pPr>
        <w:spacing w:after="140"/>
        <w:ind w:left="431"/>
      </w:pPr>
      <w:r>
        <w:rPr>
          <w:rFonts w:ascii="Consolas" w:cs="Consolas" w:eastAsia="Consolas" w:hAnsi="Consolas"/>
          <w:color w:val="1A1A1A"/>
          <w:sz w:val="16"/>
          <w:szCs w:val="16"/>
        </w:rPr>
        <w:t xml:space="preserve">&lt;a href="https://pubmed.ncbi.nlm.nih.gov/{drug['reference'].replace('PMID:','')}"&gt;</w:t>
      </w:r>
    </w:p>
    <w:p>
      <w:pPr>
        <w:spacing w:after="140" w:before="0" w:line="276"/>
      </w:pPr>
      <w:r>
        <w:rPr>
          <w:rFonts w:ascii="Georgia" w:cs="Georgia" w:eastAsia="Georgia" w:hAnsi="Georgia"/>
          <w:color w:val="1A1A1A"/>
          <w:sz w:val="21"/>
          <w:szCs w:val="21"/>
        </w:rPr>
        <w:t xml:space="preserve">The template assumes drug['reference'] always holds a PMID. For several of the thirteen drugs it holds a prose evidence note — "BANDIT trial", "Emerging transplant data", "Mechanistic extrapolation from RA/transplant literature" — and the sentence is interpolated straight into the URL path. One holds a trial registry id (NCT01319331), which belongs on ClinicalTrials.gov, not PubMed. Three are worse still — two here and one in Trial_Equity_Mapper, where build_trial_equity_mapper.py does the same thing to a clinicaltrials.gov URL. In all three the interpolated text is a citation-withdrawal note, so a retraction has been rendered as a working-looking citation link. That it appears in two unrelated builders is what makes this a class rather than a bug.</w:t>
      </w:r>
    </w:p>
    <w:p>
      <w:pPr>
        <w:spacing w:after="140" w:before="0" w:line="276"/>
      </w:pPr>
      <w:r>
        <w:rPr>
          <w:rFonts w:ascii="Georgia" w:cs="Georgia" w:eastAsia="Georgia" w:hAnsi="Georgia"/>
          <w:b/>
          <w:bCs/>
          <w:color w:val="1A1A1A"/>
          <w:sz w:val="21"/>
          <w:szCs w:val="21"/>
        </w:rPr>
        <w:t xml:space="preserve">Why no gate caught it. </w:t>
      </w:r>
      <w:r>
        <w:rPr>
          <w:rFonts w:ascii="Georgia" w:cs="Georgia" w:eastAsia="Georgia" w:hAnsi="Georgia"/>
          <w:color w:val="1A1A1A"/>
          <w:sz w:val="21"/>
          <w:szCs w:val="21"/>
        </w:rPr>
        <w:t xml:space="preserve">audit_published_links.py passed cleanly this run — 1,400 relative links resolve. It validates relative links only. Sixteen citation audits exist and every one of them reasons about PMIDs as identifiers: whether they are impossible, off-topic, unsupported, retracted, semantically load-bearing. </w:t>
      </w:r>
      <w:r>
        <w:rPr>
          <w:rFonts w:ascii="Georgia" w:cs="Georgia" w:eastAsia="Georgia" w:hAnsi="Georgia"/>
          <w:b/>
          <w:bCs/>
          <w:color w:val="1A1A1A"/>
          <w:sz w:val="21"/>
          <w:szCs w:val="21"/>
        </w:rPr>
        <w:t xml:space="preserve">None validates the shape of the URL a citation is actually published as.</w:t>
      </w:r>
      <w:r>
        <w:rPr>
          <w:rFonts w:ascii="Georgia" w:cs="Georgia" w:eastAsia="Georgia" w:hAnsi="Georgia"/>
          <w:color w:val="1A1A1A"/>
          <w:sz w:val="21"/>
          <w:szCs w:val="21"/>
        </w:rPr>
        <w:t xml:space="preserve"> The class is: a citation can be correct as data and broken as a link, and only the data side is gated.</w:t>
      </w:r>
    </w:p>
    <w:p>
      <w:pPr>
        <w:pStyle w:val="Heading3"/>
        <w:spacing w:after="80" w:before="200"/>
      </w:pPr>
      <w:r>
        <w:rPr>
          <w:rFonts w:ascii="Calibri" w:cs="Calibri" w:eastAsia="Calibri" w:hAnsi="Calibri"/>
          <w:b/>
          <w:bCs/>
          <w:color w:val="404040"/>
          <w:sz w:val="19"/>
          <w:szCs w:val="19"/>
        </w:rPr>
        <w:t xml:space="preserve">The three-line close</w:t>
      </w:r>
    </w:p>
    <w:p>
      <w:pPr>
        <w:spacing w:after="120" w:before="0" w:line="276"/>
      </w:pPr>
      <w:r>
        <w:rPr>
          <w:rFonts w:ascii="Georgia" w:cs="Georgia" w:eastAsia="Georgia" w:hAnsi="Georgia"/>
          <w:color w:val="1A1A1A"/>
          <w:sz w:val="21"/>
          <w:szCs w:val="21"/>
        </w:rPr>
        <w:t xml:space="preserve">Assert that every href matching pubmed.ncbi.nlm.nih.gov on a published page matches ^https://pubmed\.ncbi\.nlm\.nih\.gov/\d+/?$, and the same for doi.org and clinicaltrials.gov, and fail the run. That catches all eleven, and every future instance of a prose field reaching a URL slot.</w:t>
      </w:r>
    </w:p>
    <w:p>
      <w:pPr>
        <w:spacing w:after="160" w:before="0" w:line="276"/>
      </w:pPr>
      <w:r>
        <w:rPr>
          <w:rFonts w:ascii="Georgia" w:cs="Georgia" w:eastAsia="Georgia" w:hAnsi="Georgia"/>
          <w:color w:val="1A1A1A"/>
          <w:sz w:val="21"/>
          <w:szCs w:val="21"/>
        </w:rPr>
        <w:t xml:space="preserve">Written and shipped with this report: </w:t>
      </w:r>
      <w:r>
        <w:rPr>
          <w:rFonts w:ascii="Consolas" w:cs="Consolas" w:eastAsia="Consolas" w:hAnsi="Consolas"/>
          <w:color w:val="1A1A1A"/>
          <w:sz w:val="18"/>
          <w:szCs w:val="18"/>
        </w:rPr>
        <w:t xml:space="preserve">Analysis/Scripts/audit_citation_url_shape.py</w:t>
      </w:r>
      <w:r>
        <w:rPr>
          <w:rFonts w:ascii="Georgia" w:cs="Georgia" w:eastAsia="Georgia" w:hAnsi="Georgia"/>
          <w:color w:val="1A1A1A"/>
          <w:sz w:val="21"/>
          <w:szCs w:val="21"/>
        </w:rPr>
        <w:t xml:space="preserve">. It scans 1,824 citation URLs across docs/ in about a second, separates broken from cosmetic, and exits 1 on any broken link so it can gate the pipeline or a CI job. It carries two exclusions, each written down with its reason — client-side URL assembly, and front-page links labelled as the site — because it produced five false positives before they were added, and a gate that cries wolf gets muted.</w:t>
      </w:r>
    </w:p>
    <w:p>
      <w:pPr>
        <w:pStyle w:val="Heading2"/>
        <w:spacing w:after="100" w:before="280"/>
      </w:pPr>
      <w:r>
        <w:rPr>
          <w:rFonts w:ascii="Georgia" w:cs="Georgia" w:eastAsia="Georgia" w:hAnsi="Georgia"/>
          <w:b/>
          <w:bCs/>
          <w:color w:val="1A1A1A"/>
          <w:sz w:val="22"/>
          <w:szCs w:val="22"/>
        </w:rPr>
        <w:t xml:space="preserve">Three dashboards still cite nothing clickable</w:t>
      </w:r>
    </w:p>
    <w:p>
      <w:pPr>
        <w:spacing w:after="140" w:before="0" w:line="276"/>
      </w:pPr>
      <w:r>
        <w:rPr>
          <w:rFonts w:ascii="Georgia" w:cs="Georgia" w:eastAsia="Georgia" w:hAnsi="Georgia"/>
          <w:color w:val="1A1A1A"/>
          <w:sz w:val="21"/>
          <w:szCs w:val="21"/>
        </w:rPr>
        <w:t xml:space="preserve">Acronym_Database, Methodology, Prediction_Ledger — unchanged from last week. Two remain defensible and should be named as exemptions rather than left looking like oversights: Acronym_Database is terminology and asserts nothing; Prediction_Ledger records this project's own forward predictions, whose evidence arrives at resolution. No written exemption list was found this run, so the recommendation stands.</w:t>
      </w:r>
    </w:p>
    <w:p>
      <w:pPr>
        <w:spacing w:after="140" w:before="0" w:line="276"/>
      </w:pPr>
      <w:r>
        <w:rPr>
          <w:rFonts w:ascii="Georgia" w:cs="Georgia" w:eastAsia="Georgia" w:hAnsi="Georgia"/>
          <w:color w:val="1A1A1A"/>
          <w:sz w:val="21"/>
          <w:szCs w:val="21"/>
        </w:rPr>
        <w:t xml:space="preserve">Methodology changed shape, and not for the better. </w:t>
      </w:r>
      <w:r>
        <w:rPr>
          <w:rFonts w:ascii="Georgia" w:cs="Georgia" w:eastAsia="Georgia" w:hAnsi="Georgia"/>
          <w:b/>
          <w:bCs/>
          <w:color w:val="1A1A1A"/>
          <w:sz w:val="21"/>
          <w:szCs w:val="21"/>
        </w:rPr>
        <w:t xml:space="preserve">Last week it carried 14 PMID mentions in prose, none linked. Today it carries one — inside the sentence "Some PMIDs are assigned via computational matching" — plus one empty PubMed href. The fourteen citations were not linked; they were removed. The page that defines this project's evidence standard now cites no evidence.</w:t>
      </w:r>
    </w:p>
    <w:p>
      <w:pPr>
        <w:pStyle w:val="Heading2"/>
        <w:spacing w:after="100" w:before="280"/>
      </w:pPr>
      <w:r>
        <w:rPr>
          <w:rFonts w:ascii="Georgia" w:cs="Georgia" w:eastAsia="Georgia" w:hAnsi="Georgia"/>
          <w:b/>
          <w:bCs/>
          <w:color w:val="1A1A1A"/>
          <w:sz w:val="22"/>
          <w:szCs w:val="22"/>
        </w:rPr>
        <w:t xml:space="preserve">Clean</w:t>
      </w:r>
    </w:p>
    <w:p>
      <w:pPr>
        <w:spacing w:after="0" w:before="0" w:line="276"/>
      </w:pPr>
      <w:r>
        <w:rPr>
          <w:rFonts w:ascii="Georgia" w:cs="Georgia" w:eastAsia="Georgia" w:hAnsi="Georgia"/>
          <w:color w:val="1A1A1A"/>
          <w:sz w:val="21"/>
          <w:szCs w:val="21"/>
        </w:rPr>
        <w:t xml:space="preserve">Zero PMIDs appear as unlinked bare text anywhere (last week's MEDIUM #5, closed). Zero PMIDs carry two different study titles on the same page — the duplicate-citation check the task asks for returns nothing, across all 1,142 distinct citations. Zero impossible PMIDs among 352 labelled identifiers, highest being 42,698,953 against a 43,013,307 ceiling. All 30 NCT identifiers agree with ClinicalTrials.gov on topic and attributes. One unindexed identifier is reported and not failing: doi:10.2337/db25-840-P (teplizumab → T1D).</w:t>
      </w:r>
    </w:p>
    <w:p>
      <w:r>
        <w:br w:type="page"/>
      </w:r>
    </w:p>
    <w:p>
      <w:pPr>
        <w:pStyle w:val="Heading1"/>
        <w:pBdr>
          <w:bottom w:val="single" w:color="1A1A1A" w:sz="2"/>
        </w:pBdr>
        <w:spacing w:after="160" w:before="400"/>
      </w:pPr>
      <w:r>
        <w:rPr>
          <w:rFonts w:ascii="Georgia" w:cs="Georgia" w:eastAsia="Georgia" w:hAnsi="Georgia"/>
          <w:b/>
          <w:bCs/>
          <w:color w:val="1A1A1A"/>
          <w:sz w:val="26"/>
          <w:szCs w:val="26"/>
        </w:rPr>
        <w:t xml:space="preserve">3 · Build integrity</w:t>
      </w:r>
    </w:p>
    <w:p>
      <w:pPr>
        <w:spacing w:after="140" w:before="0" w:line="276"/>
      </w:pPr>
      <w:r>
        <w:rPr>
          <w:rFonts w:ascii="Georgia" w:cs="Georgia" w:eastAsia="Georgia" w:hAnsi="Georgia"/>
          <w:color w:val="1A1A1A"/>
          <w:sz w:val="21"/>
          <w:szCs w:val="21"/>
        </w:rPr>
        <w:t xml:space="preserve">run_quality_improvements.py did not complete, and I stopped it rather than let it finish. </w:t>
      </w:r>
      <w:r>
        <w:rPr>
          <w:rFonts w:ascii="Georgia" w:cs="Georgia" w:eastAsia="Georgia" w:hAnsi="Georgia"/>
          <w:b w:val="false"/>
          <w:bCs w:val="false"/>
          <w:color w:val="1A1A1A"/>
          <w:sz w:val="21"/>
          <w:szCs w:val="21"/>
        </w:rPr>
        <w:t xml:space="preserve">The pipeline is roughly sixty stages, many of them network-bound against PubMed and ClinicalTrials.gov. It ran for three minutes, completed three stages, and hit the sandbox ceiling. Letting an unattended, partially-networked sandbox rewrite sixteen dashboards and leave them half-built is worse than not running it. The two files it had already modified were restored from HEAD; </w:t>
      </w:r>
      <w:r>
        <w:rPr>
          <w:rFonts w:ascii="Georgia" w:cs="Georgia" w:eastAsia="Georgia" w:hAnsi="Georgia"/>
          <w:b/>
          <w:bCs/>
          <w:color w:val="1A1A1A"/>
          <w:sz w:val="21"/>
          <w:szCs w:val="21"/>
        </w:rPr>
        <w:t xml:space="preserve">the repository is exactly as this audit found it.</w:t>
      </w:r>
    </w:p>
    <w:p>
      <w:pPr>
        <w:spacing w:after="100" w:before="0" w:line="276"/>
      </w:pPr>
      <w:r>
        <w:rPr>
          <w:rFonts w:ascii="Georgia" w:cs="Georgia" w:eastAsia="Georgia" w:hAnsi="Georgia"/>
          <w:color w:val="1A1A1A"/>
          <w:sz w:val="21"/>
          <w:szCs w:val="21"/>
        </w:rPr>
        <w:t xml:space="preserve">The stages that did complete, plus every fast offline gate, were run to completion and all pass:</w:t>
      </w:r>
    </w:p>
    <w:tbl>
      <w:tblPr>
        <w:tblW w:type="dxa" w:w="9340"/>
        <w:tblBorders>
          <w:top w:val="none"/>
          <w:left w:val="none"/>
          <w:bottom w:val="none"/>
          <w:right w:val="none"/>
          <w:insideH w:val="none"/>
          <w:insideV w:val="none"/>
        </w:tblBorders>
      </w:tblPr>
      <w:tblGrid>
        <w:gridCol w:w="5100"/>
        <w:gridCol w:w="1500"/>
        <w:gridCol w:w="2740"/>
      </w:tblGrid>
      <w:tr>
        <w:trPr>
          <w:tblHeader/>
        </w:trPr>
        <w:tc>
          <w:tcPr>
            <w:tcW w:type="dxa" w:w="51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Gate</w:t>
            </w:r>
          </w:p>
        </w:tc>
        <w:tc>
          <w:tcPr>
            <w:tcW w:type="dxa" w:w="15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Result</w:t>
            </w:r>
          </w:p>
        </w:tc>
        <w:tc>
          <w:tcPr>
            <w:tcW w:type="dxa" w:w="27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Note</w:t>
            </w:r>
          </w:p>
        </w:tc>
      </w:tr>
      <w:tr>
        <w:tc>
          <w:tcPr>
            <w:tcW w:type="dxa" w:w="51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audit_builders_compile</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156 / 156 parse</w:t>
            </w:r>
          </w:p>
        </w:tc>
        <w:tc>
          <w:tcPr>
            <w:tcW w:type="dxa" w:w="27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0 broken</w:t>
            </w:r>
          </w:p>
        </w:tc>
      </w:tr>
      <w:tr>
        <w:tc>
          <w:tcPr>
            <w:tcW w:type="dxa" w:w="51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audit_published_links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1,400 links resolve</w:t>
            </w:r>
          </w:p>
        </w:tc>
        <w:tc>
          <w:tcPr>
            <w:tcW w:type="dxa" w:w="27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relative only — see §2</w:t>
            </w:r>
          </w:p>
        </w:tc>
      </w:tr>
      <w:tr>
        <w:tc>
          <w:tcPr>
            <w:tcW w:type="dxa" w:w="51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audit_impossible_pmids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0 of 352 impossible</w:t>
            </w:r>
          </w:p>
        </w:tc>
        <w:tc>
          <w:tcPr>
            <w:tcW w:type="dxa" w:w="27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ceiling 43,013,307</w:t>
            </w:r>
          </w:p>
        </w:tc>
      </w:tr>
      <w:tr>
        <w:tc>
          <w:tcPr>
            <w:tcW w:type="dxa" w:w="51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audit_citation_identifiers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0 off-topic, 0 unrated</w:t>
            </w:r>
          </w:p>
        </w:tc>
        <w:tc>
          <w:tcPr>
            <w:tcW w:type="dxa" w:w="27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1 unindexed DOI reported</w:t>
            </w:r>
          </w:p>
        </w:tc>
      </w:tr>
      <w:tr>
        <w:tc>
          <w:tcPr>
            <w:tcW w:type="dxa" w:w="51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audit_report_freshness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2 / 2 inside window</w:t>
            </w:r>
          </w:p>
        </w:tc>
        <w:tc>
          <w:tcPr>
            <w:tcW w:type="dxa" w:w="27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oldest input 0–1 d</w:t>
            </w:r>
          </w:p>
        </w:tc>
      </w:tr>
      <w:tr>
        <w:tc>
          <w:tcPr>
            <w:tcW w:type="dxa" w:w="51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audit_nct_identifiers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30 / 30 agree</w:t>
            </w:r>
          </w:p>
        </w:tc>
        <w:tc>
          <w:tcPr>
            <w:tcW w:type="dxa" w:w="27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0 unreachable</w:t>
            </w:r>
          </w:p>
        </w:tc>
      </w:tr>
      <w:tr>
        <w:tc>
          <w:tcPr>
            <w:tcW w:type="dxa" w:w="51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audit_citation_url_shape  (new)</w:t>
            </w:r>
          </w:p>
        </w:tc>
        <w:tc>
          <w:tcPr>
            <w:tcW w:type="dxa" w:w="15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11 broken</w:t>
            </w:r>
          </w:p>
        </w:tc>
        <w:tc>
          <w:tcPr>
            <w:tcW w:type="dxa" w:w="27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written this run — see §2</w:t>
            </w:r>
          </w:p>
        </w:tc>
      </w:tr>
    </w:tbl>
    <w:p>
      <w:pPr>
        <w:spacing w:after="160" w:before="140" w:line="276"/>
      </w:pPr>
      <w:r>
        <w:rPr>
          <w:rFonts w:ascii="Calibri" w:cs="Calibri" w:eastAsia="Calibri" w:hAnsi="Calibri"/>
          <w:color w:val="636363"/>
          <w:sz w:val="16"/>
          <w:szCs w:val="16"/>
        </w:rPr>
        <w:t xml:space="preserve">Measured: 35 dashboards · 3,973 KB published · 156 builder scripts · 1,142 distinct PMIDs. Last week: 35 dashboards, same count; PMID total not comparably measured.</w:t>
      </w:r>
    </w:p>
    <w:p>
      <w:pPr>
        <w:pStyle w:val="Heading2"/>
        <w:spacing w:after="100" w:before="280"/>
      </w:pPr>
      <w:r>
        <w:rPr>
          <w:rFonts w:ascii="Georgia" w:cs="Georgia" w:eastAsia="Georgia" w:hAnsi="Georgia"/>
          <w:b/>
          <w:bCs/>
          <w:color w:val="1A1A1A"/>
          <w:sz w:val="22"/>
          <w:szCs w:val="22"/>
        </w:rPr>
        <w:t xml:space="preserve">A stale git lock is blocking the repository</w:t>
      </w:r>
    </w:p>
    <w:p>
      <w:pPr>
        <w:spacing w:after="100" w:before="0" w:line="276"/>
      </w:pPr>
      <w:r>
        <w:rPr>
          <w:rFonts w:ascii="Georgia" w:cs="Georgia" w:eastAsia="Georgia" w:hAnsi="Georgia"/>
          <w:color w:val="1A1A1A"/>
          <w:sz w:val="21"/>
          <w:szCs w:val="21"/>
        </w:rPr>
        <w:t xml:space="preserve">.git/index.lock exists, is zero bytes, and is dated 2026-09-20 03:26 — the daily pipeline run, hours before this audit. No git process is running. </w:t>
      </w:r>
      <w:r>
        <w:rPr>
          <w:rFonts w:ascii="Georgia" w:cs="Georgia" w:eastAsia="Georgia" w:hAnsi="Georgia"/>
          <w:b/>
          <w:bCs/>
          <w:color w:val="1A1A1A"/>
          <w:sz w:val="21"/>
          <w:szCs w:val="21"/>
        </w:rPr>
        <w:t xml:space="preserve">Every git operation that touches the index, including the commit and push §0 asks for, will fail until it is deleted.</w:t>
      </w:r>
      <w:r>
        <w:rPr>
          <w:rFonts w:ascii="Georgia" w:cs="Georgia" w:eastAsia="Georgia" w:hAnsi="Georgia"/>
          <w:color w:val="1A1A1A"/>
          <w:sz w:val="21"/>
          <w:szCs w:val="21"/>
        </w:rPr>
        <w:t xml:space="preserve"> I did not delete it: removing another process's lock is not an unattended decision. Verify no git process is live, then:</w:t>
      </w:r>
    </w:p>
    <w:p>
      <w:pPr>
        <w:pBdr>
          <w:left w:val="single" w:color="1A1A1A" w:sz="2"/>
        </w:pBdr>
        <w:spacing w:after="160"/>
        <w:ind w:left="431"/>
      </w:pPr>
      <w:r>
        <w:rPr>
          <w:rFonts w:ascii="Consolas" w:cs="Consolas" w:eastAsia="Consolas" w:hAnsi="Consolas"/>
          <w:color w:val="1A1A1A"/>
          <w:sz w:val="18"/>
          <w:szCs w:val="18"/>
        </w:rPr>
        <w:t xml:space="preserve">  del .git\index.lock</w:t>
      </w:r>
    </w:p>
    <w:p>
      <w:pPr>
        <w:pStyle w:val="Heading2"/>
        <w:spacing w:after="100" w:before="280"/>
      </w:pPr>
      <w:r>
        <w:rPr>
          <w:rFonts w:ascii="Georgia" w:cs="Georgia" w:eastAsia="Georgia" w:hAnsi="Georgia"/>
          <w:b/>
          <w:bCs/>
          <w:color w:val="1A1A1A"/>
          <w:sz w:val="22"/>
          <w:szCs w:val="22"/>
        </w:rPr>
        <w:t xml:space="preserve">No CI enforces any of this</w:t>
      </w:r>
    </w:p>
    <w:p>
      <w:pPr>
        <w:spacing w:after="0" w:before="0" w:line="276"/>
      </w:pPr>
      <w:r>
        <w:rPr>
          <w:rFonts w:ascii="Georgia" w:cs="Georgia" w:eastAsia="Georgia" w:hAnsi="Georgia"/>
          <w:color w:val="1A1A1A"/>
          <w:sz w:val="21"/>
          <w:szCs w:val="21"/>
        </w:rPr>
        <w:t xml:space="preserve">.github/workflows does not exist. One hundred and fifty-six scripts, of which sixteen are citation audits and several are described in their own comments as gates that "fail the run" — and none of them runs on push or on pull request. A gate that only fires when someone remembers to type its name is documentation, not a gate. For a project inviting outside contributors, this is the difference between a contribution standard and a contribution hope.</w:t>
      </w:r>
    </w:p>
    <w:p>
      <w:pPr>
        <w:pStyle w:val="Heading1"/>
        <w:pBdr>
          <w:bottom w:val="single" w:color="1A1A1A" w:sz="2"/>
        </w:pBdr>
        <w:spacing w:after="160" w:before="400"/>
      </w:pPr>
      <w:r>
        <w:rPr>
          <w:rFonts w:ascii="Georgia" w:cs="Georgia" w:eastAsia="Georgia" w:hAnsi="Georgia"/>
          <w:b/>
          <w:bCs/>
          <w:color w:val="1A1A1A"/>
          <w:sz w:val="26"/>
          <w:szCs w:val="26"/>
        </w:rPr>
        <w:t xml:space="preserve">4 · Content freshness</w:t>
      </w:r>
    </w:p>
    <w:p>
      <w:pPr>
        <w:pStyle w:val="Heading2"/>
        <w:spacing w:after="100" w:before="280"/>
      </w:pPr>
      <w:r>
        <w:rPr>
          <w:rFonts w:ascii="Georgia" w:cs="Georgia" w:eastAsia="Georgia" w:hAnsi="Georgia"/>
          <w:b/>
          <w:bCs/>
          <w:color w:val="1A1A1A"/>
          <w:sz w:val="22"/>
          <w:szCs w:val="22"/>
        </w:rPr>
        <w:t xml:space="preserve">The scheduled task asks whether 746 should be refreshed. It should be deleted.</w:t>
      </w:r>
    </w:p>
    <w:p>
      <w:pPr>
        <w:spacing w:after="120" w:before="0" w:line="276"/>
      </w:pPr>
      <w:r>
        <w:rPr>
          <w:rFonts w:ascii="Georgia" w:cs="Georgia" w:eastAsia="Georgia" w:hAnsi="Georgia"/>
          <w:color w:val="1A1A1A"/>
          <w:sz w:val="21"/>
          <w:szCs w:val="21"/>
        </w:rPr>
        <w:t xml:space="preserve">746 is not the platform's trial count and has not been for months. It is a literal, hard-coded in three builder scripts and frozen into the outreach copy. Four different totals are in circulation:</w:t>
      </w:r>
    </w:p>
    <w:tbl>
      <w:tblPr>
        <w:tblW w:type="dxa" w:w="9540"/>
        <w:tblBorders>
          <w:top w:val="none"/>
          <w:left w:val="none"/>
          <w:bottom w:val="none"/>
          <w:right w:val="none"/>
          <w:insideH w:val="none"/>
          <w:insideV w:val="none"/>
        </w:tblBorders>
      </w:tblPr>
      <w:tblGrid>
        <w:gridCol w:w="4200"/>
        <w:gridCol w:w="1200"/>
        <w:gridCol w:w="4140"/>
      </w:tblGrid>
      <w:tr>
        <w:trPr>
          <w:tblHeader/>
        </w:trPr>
        <w:tc>
          <w:tcPr>
            <w:tcW w:type="dxa" w:w="42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Surface</w:t>
            </w:r>
          </w:p>
        </w:tc>
        <w:tc>
          <w:tcPr>
            <w:tcW w:type="dxa" w:w="12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Figure</w:t>
            </w:r>
          </w:p>
        </w:tc>
        <w:tc>
          <w:tcPr>
            <w:tcW w:type="dxa" w:w="41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Provenance</w:t>
            </w:r>
          </w:p>
        </w:tc>
      </w:tr>
      <w:tr>
        <w:tc>
          <w:tcPr>
            <w:tcW w:type="dxa" w:w="42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clinical_trials_latest.json  (authoritative)</w:t>
            </w:r>
          </w:p>
        </w:tc>
        <w:tc>
          <w:tcPr>
            <w:tcW w:type="dxa" w:w="12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6"/>
                <w:szCs w:val="16"/>
              </w:rPr>
              <w:t xml:space="preserve">858</w:t>
            </w:r>
          </w:p>
        </w:tc>
        <w:tc>
          <w:tcPr>
            <w:tcW w:type="dxa" w:w="41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ClinicalTrials.gov API v2, generated 2026-07-17</w:t>
            </w:r>
          </w:p>
        </w:tc>
      </w:tr>
      <w:tr>
        <w:tc>
          <w:tcPr>
            <w:tcW w:type="dxa" w:w="42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docs/index.html  headline + trial card</w:t>
            </w:r>
          </w:p>
        </w:tc>
        <w:tc>
          <w:tcPr>
            <w:tcW w:type="dxa" w:w="12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858</w:t>
            </w:r>
          </w:p>
        </w:tc>
        <w:tc>
          <w:tcPr>
            <w:tcW w:type="dxa" w:w="41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derived from the artefact — correct</w:t>
            </w:r>
          </w:p>
        </w:tc>
      </w:tr>
      <w:tr>
        <w:tc>
          <w:tcPr>
            <w:tcW w:type="dxa" w:w="42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Clinical_Trial_Dashboard.html  prose</w:t>
            </w:r>
          </w:p>
        </w:tc>
        <w:tc>
          <w:tcPr>
            <w:tcW w:type="dxa" w:w="12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748+</w:t>
            </w:r>
          </w:p>
        </w:tc>
        <w:tc>
          <w:tcPr>
            <w:tcW w:type="dxa" w:w="41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hard-coded literal, stale</w:t>
            </w:r>
          </w:p>
        </w:tc>
      </w:tr>
      <w:tr>
        <w:tc>
          <w:tcPr>
            <w:tcW w:type="dxa" w:w="42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docs/social_media_launch_posts.md  (×4)</w:t>
            </w:r>
          </w:p>
        </w:tc>
        <w:tc>
          <w:tcPr>
            <w:tcW w:type="dxa" w:w="12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746</w:t>
            </w:r>
          </w:p>
        </w:tc>
        <w:tc>
          <w:tcPr>
            <w:tcW w:type="dxa" w:w="41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hard-coded literal, never re-synced</w:t>
            </w:r>
          </w:p>
        </w:tc>
      </w:tr>
      <w:tr>
        <w:tc>
          <w:tcPr>
            <w:tcW w:type="dxa" w:w="42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LIVE published site</w:t>
            </w:r>
          </w:p>
        </w:tc>
        <w:tc>
          <w:tcPr>
            <w:tcW w:type="dxa" w:w="12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6"/>
                <w:szCs w:val="16"/>
              </w:rPr>
              <w:t xml:space="preserve">767</w:t>
            </w:r>
          </w:p>
        </w:tc>
        <w:tc>
          <w:tcPr>
            <w:tcW w:type="dxa" w:w="41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the 2026-04-19 build</w:t>
            </w:r>
          </w:p>
        </w:tc>
      </w:tr>
    </w:tbl>
    <w:p>
      <w:pPr>
        <w:spacing w:after="160" w:before="120" w:line="276"/>
      </w:pPr>
      <w:r>
        <w:rPr>
          <w:rFonts w:ascii="Calibri" w:cs="Calibri" w:eastAsia="Calibri" w:hAnsi="Calibri"/>
          <w:color w:val="636363"/>
          <w:sz w:val="16"/>
          <w:szCs w:val="16"/>
        </w:rPr>
        <w:t xml:space="preserve">Gap_Deep_Dives.html states "General T2D: 744 trials." That is a domain subset, not the platform total, and is not counted as a contradiction here.</w:t>
      </w:r>
    </w:p>
    <w:p>
      <w:pPr>
        <w:spacing w:after="140" w:before="0" w:line="276"/>
      </w:pPr>
      <w:r>
        <w:rPr>
          <w:rFonts w:ascii="Georgia" w:cs="Georgia" w:eastAsia="Georgia" w:hAnsi="Georgia"/>
          <w:color w:val="1A1A1A"/>
          <w:sz w:val="21"/>
          <w:szCs w:val="21"/>
        </w:rPr>
        <w:t xml:space="preserve">Two problems, and the second is the serious one. </w:t>
      </w:r>
      <w:r>
        <w:rPr>
          <w:rFonts w:ascii="Georgia" w:cs="Georgia" w:eastAsia="Georgia" w:hAnsi="Georgia"/>
          <w:color w:val="1A1A1A"/>
          <w:sz w:val="21"/>
          <w:szCs w:val="21"/>
        </w:rPr>
        <w:t xml:space="preserve">The artefact is 65 days old — a freshness problem, fixed by re-running baseline_clinical_trials.py. The dashboard prose and the outreach copy disagree with the artefact and with each other — a provenance problem, fixed only by deleting the literals and having every surface read the count from the artefact. A reader who opens the landing page and then the trial dashboard sees 858 and 748+ on consecutive pages. That is the platform contradicting itself in two clicks, on the dashboard whose entire subject is counting trials.</w:t>
      </w:r>
    </w:p>
    <w:p>
      <w:pPr>
        <w:pStyle w:val="Heading2"/>
        <w:spacing w:after="100" w:before="280"/>
      </w:pPr>
      <w:r>
        <w:rPr>
          <w:rFonts w:ascii="Georgia" w:cs="Georgia" w:eastAsia="Georgia" w:hAnsi="Georgia"/>
          <w:b/>
          <w:bCs/>
          <w:color w:val="1A1A1A"/>
          <w:sz w:val="22"/>
          <w:szCs w:val="22"/>
        </w:rPr>
        <w:t xml:space="preserve">Advertised reports are current</w:t>
      </w:r>
    </w:p>
    <w:p>
      <w:pPr>
        <w:spacing w:after="140" w:before="0" w:line="276"/>
      </w:pPr>
      <w:r>
        <w:rPr>
          <w:rFonts w:ascii="Georgia" w:cs="Georgia" w:eastAsia="Georgia" w:hAnsi="Georgia"/>
          <w:color w:val="1A1A1A"/>
          <w:sz w:val="21"/>
          <w:szCs w:val="21"/>
        </w:rPr>
        <w:t xml:space="preserve">Both markdown reports the hub links pass the oldest-input freshness gate: literature_gap_report.md rendered today against data 1 day old (45-day window); pubmed_recent_summary.md rendered today against data 0 days old (30-day window). Last September's laundered-date defect — a fresh render stamped over 50-day-old JSON — remains closed.</w:t>
      </w:r>
    </w:p>
    <w:p>
      <w:pPr>
        <w:pStyle w:val="Heading2"/>
        <w:spacing w:after="100" w:before="280"/>
      </w:pPr>
      <w:r>
        <w:rPr>
          <w:rFonts w:ascii="Georgia" w:cs="Georgia" w:eastAsia="Georgia" w:hAnsi="Georgia"/>
          <w:b/>
          <w:bCs/>
          <w:color w:val="1A1A1A"/>
          <w:sz w:val="22"/>
          <w:szCs w:val="22"/>
        </w:rPr>
        <w:t xml:space="preserve">"In Progress" items are undated</w:t>
      </w:r>
    </w:p>
    <w:p>
      <w:pPr>
        <w:spacing w:after="0" w:before="0" w:line="276"/>
      </w:pPr>
      <w:r>
        <w:rPr>
          <w:rFonts w:ascii="Georgia" w:cs="Georgia" w:eastAsia="Georgia" w:hAnsi="Georgia"/>
          <w:color w:val="1A1A1A"/>
          <w:sz w:val="21"/>
          <w:szCs w:val="21"/>
        </w:rPr>
        <w:t xml:space="preserve">The landing page carries three cards under "In Progress &amp; Upcoming." Two read In Progress (Multi-Omics Biomarker Integration; Pressure Test: LADA Model + Trial Mapper) and one reads Completed (BRONZE-to-SILVER Gap Promotion). None carries a date, so none can be past due — and none can be shown to be current either. A status with no date cannot go stale, which is not the same as staying true. Add a started-on date to each, or the section ages invisibly.</w:t>
      </w:r>
    </w:p>
    <w:p>
      <w:r>
        <w:br w:type="page"/>
      </w:r>
    </w:p>
    <w:p>
      <w:pPr>
        <w:pStyle w:val="Heading1"/>
        <w:pBdr>
          <w:bottom w:val="single" w:color="1A1A1A" w:sz="2"/>
        </w:pBdr>
        <w:spacing w:after="160" w:before="400"/>
      </w:pPr>
      <w:r>
        <w:rPr>
          <w:rFonts w:ascii="Georgia" w:cs="Georgia" w:eastAsia="Georgia" w:hAnsi="Georgia"/>
          <w:b/>
          <w:bCs/>
          <w:color w:val="1A1A1A"/>
          <w:sz w:val="26"/>
          <w:szCs w:val="26"/>
        </w:rPr>
        <w:t xml:space="preserve">5 · Accessibility and inclusivity</w:t>
      </w:r>
    </w:p>
    <w:p>
      <w:pPr>
        <w:pStyle w:val="Heading2"/>
        <w:spacing w:after="100" w:before="280"/>
      </w:pPr>
      <w:r>
        <w:rPr>
          <w:rFonts w:ascii="Georgia" w:cs="Georgia" w:eastAsia="Georgia" w:hAnsi="Georgia"/>
          <w:b/>
          <w:bCs/>
          <w:color w:val="1A1A1A"/>
          <w:sz w:val="22"/>
          <w:szCs w:val="22"/>
        </w:rPr>
        <w:t xml:space="preserve">Contrast — computed, not estimated</w:t>
      </w:r>
    </w:p>
    <w:tbl>
      <w:tblPr>
        <w:tblW w:type="dxa" w:w="9540"/>
        <w:tblBorders>
          <w:top w:val="none"/>
          <w:left w:val="none"/>
          <w:bottom w:val="none"/>
          <w:right w:val="none"/>
          <w:insideH w:val="none"/>
          <w:insideV w:val="none"/>
        </w:tblBorders>
      </w:tblPr>
      <w:tblGrid>
        <w:gridCol w:w="3000"/>
        <w:gridCol w:w="1900"/>
        <w:gridCol w:w="2200"/>
        <w:gridCol w:w="2440"/>
      </w:tblGrid>
      <w:tr>
        <w:trPr>
          <w:tblHeader/>
        </w:trPr>
        <w:tc>
          <w:tcPr>
            <w:tcW w:type="dxa" w:w="30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Foreground on background</w:t>
            </w:r>
          </w:p>
        </w:tc>
        <w:tc>
          <w:tcPr>
            <w:tcW w:type="dxa" w:w="19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Ratio</w:t>
            </w:r>
          </w:p>
        </w:tc>
        <w:tc>
          <w:tcPr>
            <w:tcW w:type="dxa" w:w="22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AA (4.5:1)</w:t>
            </w:r>
          </w:p>
        </w:tc>
        <w:tc>
          <w:tcPr>
            <w:tcW w:type="dxa" w:w="244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bCs/>
                <w:color w:val="1A1A1A"/>
                <w:sz w:val="15"/>
                <w:szCs w:val="15"/>
              </w:rPr>
              <w:t xml:space="preserve">AAA (7:1)</w:t>
            </w:r>
          </w:p>
        </w:tc>
      </w:tr>
      <w:tr>
        <w:tc>
          <w:tcPr>
            <w:tcW w:type="dxa" w:w="30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#636363 on #fafaf7  (muted text)</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5.75 : 1</w:t>
            </w:r>
          </w:p>
        </w:tc>
        <w:tc>
          <w:tcPr>
            <w:tcW w:type="dxa" w:w="22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c>
          <w:tcPr>
            <w:tcW w:type="dxa" w:w="244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8A6A1F"/>
                <w:sz w:val="16"/>
                <w:szCs w:val="16"/>
              </w:rPr>
              <w:t xml:space="preserve">fail</w:t>
            </w:r>
          </w:p>
        </w:tc>
      </w:tr>
      <w:tr>
        <w:tc>
          <w:tcPr>
            <w:tcW w:type="dxa" w:w="30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#636363 on #ffffff  (nav labels)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6.01 : 1</w:t>
            </w:r>
          </w:p>
        </w:tc>
        <w:tc>
          <w:tcPr>
            <w:tcW w:type="dxa" w:w="22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c>
          <w:tcPr>
            <w:tcW w:type="dxa" w:w="244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8A6A1F"/>
                <w:sz w:val="16"/>
                <w:szCs w:val="16"/>
              </w:rPr>
              <w:t xml:space="preserve">fail</w:t>
            </w:r>
          </w:p>
        </w:tc>
      </w:tr>
      <w:tr>
        <w:tc>
          <w:tcPr>
            <w:tcW w:type="dxa" w:w="30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#2c5f8a on #ffffff  (links)</w:t>
            </w:r>
          </w:p>
        </w:tc>
        <w:tc>
          <w:tcPr>
            <w:tcW w:type="dxa" w:w="19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6.75 : 1</w:t>
            </w:r>
          </w:p>
        </w:tc>
        <w:tc>
          <w:tcPr>
            <w:tcW w:type="dxa" w:w="220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c>
          <w:tcPr>
            <w:tcW w:type="dxa" w:w="2440"/>
            <w:tcBorders>
              <w:top w:val="none"/>
              <w:left w:val="none"/>
              <w:bottom w:val="single" w:color="E8E8E8"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8A6A1F"/>
                <w:sz w:val="16"/>
                <w:szCs w:val="16"/>
              </w:rPr>
              <w:t xml:space="preserve">fail</w:t>
            </w:r>
          </w:p>
        </w:tc>
      </w:tr>
      <w:tr>
        <w:tc>
          <w:tcPr>
            <w:tcW w:type="dxa" w:w="30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#1a1a1a on #fafaf7  (body)</w:t>
            </w:r>
          </w:p>
        </w:tc>
        <w:tc>
          <w:tcPr>
            <w:tcW w:type="dxa" w:w="19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1A1A1A"/>
                <w:sz w:val="16"/>
                <w:szCs w:val="16"/>
              </w:rPr>
              <w:t xml:space="preserve">16.64 : 1</w:t>
            </w:r>
          </w:p>
        </w:tc>
        <w:tc>
          <w:tcPr>
            <w:tcW w:type="dxa" w:w="220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c>
          <w:tcPr>
            <w:tcW w:type="dxa" w:w="2440"/>
            <w:tcBorders>
              <w:top w:val="none"/>
              <w:left w:val="none"/>
              <w:bottom w:val="single" w:color="1A1A1A" w:sz="2"/>
              <w:right w:val="none"/>
            </w:tcBorders>
            <w:tcMar>
              <w:top w:type="dxa" w:w="60"/>
              <w:left w:type="dxa" w:w="80"/>
              <w:bottom w:type="dxa" w:w="60"/>
              <w:right w:type="dxa" w:w="80"/>
            </w:tcMar>
          </w:tcPr>
          <w:p>
            <w:pPr>
              <w:spacing w:after="0" w:line="240"/>
              <w:jc w:val="right"/>
            </w:pPr>
            <w:r>
              <w:rPr>
                <w:rFonts w:ascii="Calibri" w:cs="Calibri" w:eastAsia="Calibri" w:hAnsi="Calibri"/>
                <w:b w:val="false"/>
                <w:bCs w:val="false"/>
                <w:color w:val="3A6B3A"/>
                <w:sz w:val="16"/>
                <w:szCs w:val="16"/>
              </w:rPr>
              <w:t xml:space="preserve">pass</w:t>
            </w:r>
          </w:p>
        </w:tc>
      </w:tr>
    </w:tbl>
    <w:p>
      <w:pPr>
        <w:spacing w:after="160" w:before="120" w:line="276"/>
      </w:pPr>
      <w:r>
        <w:rPr>
          <w:rFonts w:ascii="Calibri" w:cs="Calibri" w:eastAsia="Calibri" w:hAnsi="Calibri"/>
          <w:color w:val="636363"/>
          <w:sz w:val="16"/>
          <w:szCs w:val="16"/>
        </w:rPr>
        <w:t xml:space="preserve">Relative luminance per WCAG 2.1 sRGB linearisation. #595959 would clear AAA for the muted greys with no visible change in character.</w:t>
      </w:r>
    </w:p>
    <w:p>
      <w:pPr>
        <w:pStyle w:val="Heading2"/>
        <w:spacing w:after="100" w:before="280"/>
      </w:pPr>
      <w:r>
        <w:rPr>
          <w:rFonts w:ascii="Georgia" w:cs="Georgia" w:eastAsia="Georgia" w:hAnsi="Georgia"/>
          <w:b/>
          <w:bCs/>
          <w:color w:val="1A1A1A"/>
          <w:sz w:val="22"/>
          <w:szCs w:val="22"/>
        </w:rPr>
        <w:t xml:space="preserve">ARIA and table markup</w:t>
      </w:r>
    </w:p>
    <w:p>
      <w:pPr>
        <w:spacing w:after="140" w:before="0" w:line="276"/>
      </w:pPr>
      <w:r>
        <w:rPr>
          <w:rFonts w:ascii="Georgia" w:cs="Georgia" w:eastAsia="Georgia" w:hAnsi="Georgia"/>
          <w:color w:val="1A1A1A"/>
          <w:sz w:val="21"/>
          <w:szCs w:val="21"/>
        </w:rPr>
        <w:t xml:space="preserve">All 35 published dashboards declare &lt;html lang&gt;. All carry aria-haspopup and aria-expanded on the six nav groups. Every dashboard that renders a table carries &lt;th&gt; header markup — 35/35, no exceptions — 481 header cells across 113 tables.</w:t>
      </w:r>
    </w:p>
    <w:p>
      <w:pPr>
        <w:pStyle w:val="Heading3"/>
        <w:spacing w:after="80" w:before="200"/>
      </w:pPr>
      <w:r>
        <w:rPr>
          <w:rFonts w:ascii="Calibri" w:cs="Calibri" w:eastAsia="Calibri" w:hAnsi="Calibri"/>
          <w:b/>
          <w:bCs/>
          <w:color w:val="404040"/>
          <w:sz w:val="19"/>
          <w:szCs w:val="19"/>
        </w:rPr>
        <w:t xml:space="preserve">Two defects, both MEDIUM</w:t>
      </w:r>
    </w:p>
    <w:p>
      <w:pPr>
        <w:spacing w:after="120" w:before="0" w:line="276"/>
      </w:pPr>
      <w:r>
        <w:rPr>
          <w:rFonts w:ascii="Georgia" w:cs="Georgia" w:eastAsia="Georgia" w:hAnsi="Georgia"/>
          <w:color w:val="1A1A1A"/>
          <w:sz w:val="21"/>
          <w:szCs w:val="21"/>
        </w:rPr>
        <w:t xml:space="preserve">role="tab" without role="tablist". </w:t>
      </w:r>
      <w:r>
        <w:rPr>
          <w:rFonts w:ascii="Georgia" w:cs="Georgia" w:eastAsia="Georgia" w:hAnsi="Georgia"/>
          <w:color w:val="1A1A1A"/>
          <w:sz w:val="21"/>
          <w:szCs w:val="21"/>
        </w:rPr>
        <w:t xml:space="preserve">Gap_Synthesis, Immunomod_LADA and LADA_Prevalence mark tab buttons with role="tab" but provide no enclosing role="tablist". A screen reader announces "tab" with no set to place it in — "tab" instead of "tab 2 of 6". The other 32 tabbed dashboards get this right, so it is a drift in three builders, not a design decision.</w:t>
      </w:r>
    </w:p>
    <w:p>
      <w:pPr>
        <w:spacing w:after="120" w:before="0" w:line="276"/>
      </w:pPr>
      <w:r>
        <w:rPr>
          <w:rFonts w:ascii="Georgia" w:cs="Georgia" w:eastAsia="Georgia" w:hAnsi="Georgia"/>
          <w:color w:val="1A1A1A"/>
          <w:sz w:val="21"/>
          <w:szCs w:val="21"/>
        </w:rPr>
        <w:t xml:space="preserve">Click handlers on non-interactive elements. </w:t>
      </w:r>
      <w:r>
        <w:rPr>
          <w:rFonts w:ascii="Georgia" w:cs="Georgia" w:eastAsia="Georgia" w:hAnsi="Georgia"/>
          <w:color w:val="1A1A1A"/>
          <w:sz w:val="21"/>
          <w:szCs w:val="21"/>
        </w:rPr>
        <w:t xml:space="preserve">233 &lt;div onclick=...&gt; across 12 dashboards. A div is not focusable and does not fire on Enter, so every one of these is unreachable by keyboard and invisible to assistive technology. Gap_Deep_Dives alone carries 150 — its expand/collapse sections, which is to say the primary way a reader navigates the platform's largest evidence page. Health_Equity 11, Treg_Neuropathy 13, LADA_Prevalence 12.</w:t>
      </w:r>
    </w:p>
    <w:p>
      <w:pPr>
        <w:spacing w:after="0" w:before="0" w:line="276"/>
      </w:pPr>
      <w:r>
        <w:rPr>
          <w:rFonts w:ascii="Georgia" w:cs="Georgia" w:eastAsia="Georgia" w:hAnsi="Georgia"/>
          <w:color w:val="1A1A1A"/>
          <w:sz w:val="21"/>
          <w:szCs w:val="21"/>
        </w:rPr>
        <w:t xml:space="preserve">The fix is mechanical and belongs in add_aria_labels(): emit &lt;button type="button"&gt; instead of &lt;div&gt;, or add tabindex="0", role="button" and a keydown handler. Doing it in the shared post-pass closes all 233 at once — provided §1's warning is heeded and the post-pass stops being revertible.</w:t>
      </w:r>
    </w:p>
    <w:p>
      <w:pPr>
        <w:pStyle w:val="Heading1"/>
        <w:pBdr>
          <w:bottom w:val="single" w:color="1A1A1A" w:sz="2"/>
        </w:pBdr>
        <w:spacing w:after="160" w:before="400"/>
      </w:pPr>
      <w:r>
        <w:rPr>
          <w:rFonts w:ascii="Georgia" w:cs="Georgia" w:eastAsia="Georgia" w:hAnsi="Georgia"/>
          <w:b/>
          <w:bCs/>
          <w:color w:val="1A1A1A"/>
          <w:sz w:val="26"/>
          <w:szCs w:val="26"/>
        </w:rPr>
        <w:t xml:space="preserve">6 · Collaboration infrastructure</w:t>
      </w:r>
    </w:p>
    <w:tbl>
      <w:tblPr>
        <w:tblW w:type="dxa" w:w="9540"/>
        <w:tblBorders>
          <w:top w:val="none"/>
          <w:left w:val="none"/>
          <w:bottom w:val="none"/>
          <w:right w:val="none"/>
          <w:insideH w:val="none"/>
          <w:insideV w:val="none"/>
        </w:tblBorders>
      </w:tblPr>
      <w:tblGrid>
        <w:gridCol w:w="4600"/>
        <w:gridCol w:w="1500"/>
        <w:gridCol w:w="3440"/>
      </w:tblGrid>
      <w:tr>
        <w:trPr>
          <w:tblHeader/>
        </w:trPr>
        <w:tc>
          <w:tcPr>
            <w:tcW w:type="dxa" w:w="46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Artefact</w:t>
            </w:r>
          </w:p>
        </w:tc>
        <w:tc>
          <w:tcPr>
            <w:tcW w:type="dxa" w:w="15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Status</w:t>
            </w:r>
          </w:p>
        </w:tc>
        <w:tc>
          <w:tcPr>
            <w:tcW w:type="dxa" w:w="34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Note</w:t>
            </w:r>
          </w:p>
        </w:tc>
      </w:tr>
      <w:tr>
        <w:tc>
          <w:tcPr>
            <w:tcW w:type="dxa" w:w="46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CONTRIBUTING.md</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present</w:t>
            </w:r>
          </w:p>
        </w:tc>
        <w:tc>
          <w:tcPr>
            <w:tcW w:type="dxa" w:w="34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substantive — see below</w:t>
            </w:r>
          </w:p>
        </w:tc>
      </w:tr>
      <w:tr>
        <w:tc>
          <w:tcPr>
            <w:tcW w:type="dxa" w:w="46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Citation format for external users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present</w:t>
            </w:r>
          </w:p>
        </w:tc>
        <w:tc>
          <w:tcPr>
            <w:tcW w:type="dxa" w:w="34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CONTRIBUTING.md §63, prose form</w:t>
            </w:r>
          </w:p>
        </w:tc>
      </w:tr>
      <w:tr>
        <w:tc>
          <w:tcPr>
            <w:tcW w:type="dxa" w:w="46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GitHub issue templates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4</w:t>
            </w:r>
          </w:p>
        </w:tc>
        <w:tc>
          <w:tcPr>
            <w:tcW w:type="dxa" w:w="34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bug_report, data_error, feature_request, new_gap</w:t>
            </w:r>
          </w:p>
        </w:tc>
      </w:tr>
      <w:tr>
        <w:tc>
          <w:tcPr>
            <w:tcW w:type="dxa" w:w="46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LICENSE</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present</w:t>
            </w:r>
          </w:p>
        </w:tc>
        <w:tc>
          <w:tcPr>
            <w:tcW w:type="dxa" w:w="34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MIT (code) / CC-BY 4.0 (content)</w:t>
            </w:r>
          </w:p>
        </w:tc>
      </w:tr>
      <w:tr>
        <w:tc>
          <w:tcPr>
            <w:tcW w:type="dxa" w:w="46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CITATION.cff</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A03024"/>
                <w:sz w:val="16"/>
                <w:szCs w:val="16"/>
              </w:rPr>
              <w:t xml:space="preserve">ABSENT</w:t>
            </w:r>
          </w:p>
        </w:tc>
        <w:tc>
          <w:tcPr>
            <w:tcW w:type="dxa" w:w="34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no "Cite this repository" button</w:t>
            </w:r>
          </w:p>
        </w:tc>
      </w:tr>
      <w:tr>
        <w:tc>
          <w:tcPr>
            <w:tcW w:type="dxa" w:w="46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CODE_OF_CONDUCT.md</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A03024"/>
                <w:sz w:val="16"/>
                <w:szCs w:val="16"/>
              </w:rPr>
              <w:t xml:space="preserve">ABSENT</w:t>
            </w:r>
          </w:p>
        </w:tc>
        <w:tc>
          <w:tcPr>
            <w:tcW w:type="dxa" w:w="34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expected for open collaboration</w:t>
            </w:r>
          </w:p>
        </w:tc>
      </w:tr>
      <w:tr>
        <w:tc>
          <w:tcPr>
            <w:tcW w:type="dxa" w:w="46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Pull request template</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A03024"/>
                <w:sz w:val="16"/>
                <w:szCs w:val="16"/>
              </w:rPr>
              <w:t xml:space="preserve">ABSENT</w:t>
            </w:r>
          </w:p>
        </w:tc>
        <w:tc>
          <w:tcPr>
            <w:tcW w:type="dxa" w:w="34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the path where gates get broken</w:t>
            </w:r>
          </w:p>
        </w:tc>
      </w:tr>
      <w:tr>
        <w:tc>
          <w:tcPr>
            <w:tcW w:type="dxa" w:w="46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.github/workflows</w:t>
            </w:r>
          </w:p>
        </w:tc>
        <w:tc>
          <w:tcPr>
            <w:tcW w:type="dxa" w:w="15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A03024"/>
                <w:sz w:val="16"/>
                <w:szCs w:val="16"/>
              </w:rPr>
              <w:t xml:space="preserve">ABSENT</w:t>
            </w:r>
          </w:p>
        </w:tc>
        <w:tc>
          <w:tcPr>
            <w:tcW w:type="dxa" w:w="34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no gate runs automatically</w:t>
            </w:r>
          </w:p>
        </w:tc>
      </w:tr>
    </w:tbl>
    <w:p>
      <w:pPr>
        <w:spacing w:after="140" w:before="160" w:line="276"/>
      </w:pPr>
      <w:r>
        <w:rPr>
          <w:rFonts w:ascii="Georgia" w:cs="Georgia" w:eastAsia="Georgia" w:hAnsi="Georgia"/>
          <w:color w:val="1A1A1A"/>
          <w:sz w:val="21"/>
          <w:szCs w:val="21"/>
        </w:rPr>
        <w:t xml:space="preserve">CONTRIBUTING.md is genuinely good and worth saying so: it requires a peer-reviewed source for every quantitative claim, prefers PMIDs with DOI as fallback, and requires source-and-date for pricing data. The data_error issue template is the right one to have and most projects do not have it.</w:t>
      </w:r>
    </w:p>
    <w:p>
      <w:pPr>
        <w:spacing w:after="0" w:before="0" w:line="276"/>
      </w:pPr>
      <w:r>
        <w:rPr>
          <w:rFonts w:ascii="Georgia" w:cs="Georgia" w:eastAsia="Georgia" w:hAnsi="Georgia"/>
          <w:color w:val="1A1A1A"/>
          <w:sz w:val="21"/>
          <w:szCs w:val="21"/>
        </w:rPr>
        <w:t xml:space="preserve">The gap is that none of it is machine-enforced or machine-readable. A CITATION.cff carrying the OSF DOI (osf.io/hu9ga) is about fifteen lines and is the cheapest credibility signal an independent project can buy.</w:t>
      </w:r>
    </w:p>
    <w:p>
      <w:r>
        <w:br w:type="page"/>
      </w:r>
    </w:p>
    <w:p>
      <w:pPr>
        <w:pStyle w:val="Heading1"/>
        <w:pBdr>
          <w:bottom w:val="single" w:color="1A1A1A" w:sz="2"/>
        </w:pBdr>
        <w:spacing w:after="160" w:before="400"/>
      </w:pPr>
      <w:r>
        <w:rPr>
          <w:rFonts w:ascii="Georgia" w:cs="Georgia" w:eastAsia="Georgia" w:hAnsi="Georgia"/>
          <w:b/>
          <w:bCs/>
          <w:color w:val="1A1A1A"/>
          <w:sz w:val="26"/>
          <w:szCs w:val="26"/>
        </w:rPr>
        <w:t xml:space="preserve">Priority actions</w:t>
      </w:r>
    </w:p>
    <w:p>
      <w:pPr>
        <w:pStyle w:val="Heading2"/>
        <w:spacing w:after="100" w:before="280"/>
      </w:pPr>
      <w:r>
        <w:rPr>
          <w:rFonts w:ascii="Georgia" w:cs="Georgia" w:eastAsia="Georgia" w:hAnsi="Georgia"/>
          <w:b/>
          <w:bCs/>
          <w:color w:val="1A1A1A"/>
          <w:sz w:val="22"/>
          <w:szCs w:val="22"/>
        </w:rPr>
        <w:t xml:space="preserve">HIGH</w:t>
      </w:r>
    </w:p>
    <w:p>
      <w:pPr>
        <w:spacing w:after="80" w:before="180" w:line="276"/>
      </w:pPr>
      <w:r>
        <w:rPr>
          <w:rFonts w:ascii="Georgia" w:cs="Georgia" w:eastAsia="Georgia" w:hAnsi="Georgia"/>
          <w:b/>
          <w:bCs/>
          <w:color w:val="1A1A1A"/>
          <w:sz w:val="21"/>
          <w:szCs w:val="21"/>
        </w:rPr>
        <w:t xml:space="preserve">1. </w:t>
      </w:r>
      <w:r>
        <w:rPr>
          <w:rFonts w:ascii="Georgia" w:cs="Georgia" w:eastAsia="Georgia" w:hAnsi="Georgia"/>
          <w:b/>
          <w:bCs/>
          <w:color w:val="1A1A1A"/>
          <w:sz w:val="21"/>
          <w:szCs w:val="21"/>
        </w:rPr>
        <w:t xml:space="preserve">The published site is 154 days stale</w:t>
      </w:r>
      <w:r>
        <w:rPr>
          <w:rFonts w:ascii="Calibri" w:cs="Calibri" w:eastAsia="Calibri" w:hAnsi="Calibri"/>
          <w:color w:val="636363"/>
          <w:sz w:val="16"/>
          <w:szCs w:val="16"/>
        </w:rPr>
        <w:t xml:space="preserve">   — Build integrity / Publishing</w:t>
      </w:r>
    </w:p>
    <w:p>
      <w:pPr>
        <w:spacing w:after="80" w:before="0" w:line="276"/>
        <w:ind w:left="360"/>
      </w:pPr>
      <w:r>
        <w:rPr>
          <w:rFonts w:ascii="Georgia" w:cs="Georgia" w:eastAsia="Georgia" w:hAnsi="Georgia"/>
          <w:color w:val="1A1A1A"/>
          <w:sz w:val="21"/>
          <w:szCs w:val="21"/>
        </w:rPr>
        <w:t xml:space="preserve">Live tip 2026-04-19; origin/main 2026-04-20; local HEAD 117 commits ahead. The live landing page advertises 767 trials and links Dashboards/ paths that no longer match the current build. Nothing else in this report matters until this clears.</w:t>
      </w:r>
    </w:p>
    <w:p>
      <w:pPr>
        <w:spacing w:after="80" w:before="0" w:line="276"/>
        <w:ind w:left="360"/>
      </w:pPr>
      <w:r>
        <w:rPr>
          <w:rFonts w:ascii="Georgia" w:cs="Georgia" w:eastAsia="Georgia" w:hAnsi="Georgia"/>
          <w:color w:val="1A1A1A"/>
          <w:sz w:val="21"/>
          <w:szCs w:val="21"/>
        </w:rPr>
        <w:t xml:space="preserve">Blocked by a second thing: .git/index.lock (0 bytes, 2026-09-20 03:26, no live process) will fail the commit. Delete it first.</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git log origin/main shows today's HEAD and the live landing page reads Last updated: 2026-09-20.</w:t>
      </w:r>
    </w:p>
    <w:p>
      <w:pPr>
        <w:spacing w:after="80" w:before="180" w:line="276"/>
      </w:pPr>
      <w:r>
        <w:rPr>
          <w:rFonts w:ascii="Georgia" w:cs="Georgia" w:eastAsia="Georgia" w:hAnsi="Georgia"/>
          <w:b/>
          <w:bCs/>
          <w:color w:val="1A1A1A"/>
          <w:sz w:val="21"/>
          <w:szCs w:val="21"/>
        </w:rPr>
        <w:t xml:space="preserve">2. </w:t>
      </w:r>
      <w:r>
        <w:rPr>
          <w:rFonts w:ascii="Georgia" w:cs="Georgia" w:eastAsia="Georgia" w:hAnsi="Georgia"/>
          <w:b/>
          <w:bCs/>
          <w:color w:val="1A1A1A"/>
          <w:sz w:val="21"/>
          <w:szCs w:val="21"/>
        </w:rPr>
        <w:t xml:space="preserve">Eleven published citation links do not deliver the source they name</w:t>
      </w:r>
      <w:r>
        <w:rPr>
          <w:rFonts w:ascii="Calibri" w:cs="Calibri" w:eastAsia="Calibri" w:hAnsi="Calibri"/>
          <w:color w:val="636363"/>
          <w:sz w:val="16"/>
          <w:szCs w:val="16"/>
        </w:rPr>
        <w:t xml:space="preserve">   — Citations</w:t>
      </w:r>
    </w:p>
    <w:p>
      <w:pPr>
        <w:spacing w:after="80" w:before="0" w:line="276"/>
        <w:ind w:left="360"/>
      </w:pPr>
      <w:r>
        <w:rPr>
          <w:rFonts w:ascii="Georgia" w:cs="Georgia" w:eastAsia="Georgia" w:hAnsi="Georgia"/>
          <w:color w:val="1A1A1A"/>
          <w:sz w:val="21"/>
          <w:szCs w:val="21"/>
        </w:rPr>
        <w:t xml:space="preserve">Nine in Drug_Repurposing_Islet, where a prose evidence field is interpolated into the URL path (build_drug_repurposing_islet.py:757); one in Trial_Equity_Mapper doing the same to a clinicaltrials.gov URL; one in Health_Equity whose link text promises CDC NDSS and whose href is the PubMed front page. Three render a citation-withdrawal note as a clickable citation.</w:t>
      </w:r>
    </w:p>
    <w:p>
      <w:pPr>
        <w:spacing w:after="80" w:before="0" w:line="276"/>
        <w:ind w:left="360"/>
      </w:pPr>
      <w:r>
        <w:rPr>
          <w:rFonts w:ascii="Georgia" w:cs="Georgia" w:eastAsia="Georgia" w:hAnsi="Georgia"/>
          <w:color w:val="1A1A1A"/>
          <w:sz w:val="21"/>
          <w:szCs w:val="21"/>
        </w:rPr>
        <w:t xml:space="preserve">Sixteen citation audits exist and none checks the shape of a published citation URL. Close the class, not the file.</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a shape assertion on every pubmed href runs in the pipeline and fails on a synthetic bad URL.</w:t>
      </w:r>
    </w:p>
    <w:p>
      <w:pPr>
        <w:spacing w:after="80" w:before="180" w:line="276"/>
      </w:pPr>
      <w:r>
        <w:rPr>
          <w:rFonts w:ascii="Georgia" w:cs="Georgia" w:eastAsia="Georgia" w:hAnsi="Georgia"/>
          <w:b/>
          <w:bCs/>
          <w:color w:val="1A1A1A"/>
          <w:sz w:val="21"/>
          <w:szCs w:val="21"/>
        </w:rPr>
        <w:t xml:space="preserve">3. </w:t>
      </w:r>
      <w:r>
        <w:rPr>
          <w:rFonts w:ascii="Georgia" w:cs="Georgia" w:eastAsia="Georgia" w:hAnsi="Georgia"/>
          <w:b/>
          <w:bCs/>
          <w:color w:val="1A1A1A"/>
          <w:sz w:val="21"/>
          <w:szCs w:val="21"/>
        </w:rPr>
        <w:t xml:space="preserve">Nav injection is still a revertible, non-idempotent post-pass</w:t>
      </w:r>
      <w:r>
        <w:rPr>
          <w:rFonts w:ascii="Calibri" w:cs="Calibri" w:eastAsia="Calibri" w:hAnsi="Calibri"/>
          <w:color w:val="636363"/>
          <w:sz w:val="16"/>
          <w:szCs w:val="16"/>
        </w:rPr>
        <w:t xml:space="preserve">   — Navigation</w:t>
      </w:r>
    </w:p>
    <w:p>
      <w:pPr>
        <w:spacing w:after="80" w:before="0" w:line="276"/>
        <w:ind w:left="360"/>
      </w:pPr>
      <w:r>
        <w:rPr>
          <w:rFonts w:ascii="Georgia" w:cs="Georgia" w:eastAsia="Georgia" w:hAnsi="Georgia"/>
          <w:color w:val="1A1A1A"/>
          <w:sz w:val="21"/>
          <w:szCs w:val="21"/>
        </w:rPr>
        <w:t xml:space="preserve">Last week's instance is fixed (35/35 both trees). The mechanism is not: two builders stripped the nav bar again during this audit's three-minute partial run. The CSS is also duplicated in all 35 files and injected 54 times in Prediction_Ledger.</w:t>
      </w:r>
    </w:p>
    <w:p>
      <w:pPr>
        <w:spacing w:after="80" w:before="0" w:line="276"/>
        <w:ind w:left="360"/>
      </w:pPr>
      <w:r>
        <w:rPr>
          <w:rFonts w:ascii="Georgia" w:cs="Georgia" w:eastAsia="Georgia" w:hAnsi="Georgia"/>
          <w:color w:val="1A1A1A"/>
          <w:sz w:val="21"/>
          <w:szCs w:val="21"/>
        </w:rPr>
        <w:t xml:space="preserve">Last week's first recommendation — move nav into the shared builder template — was not adopted. It is still the right one.</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a freshly built dashboard carries the nav bar without a post-pass, and a pre-sync assertion fails loudly if one does not.</w:t>
      </w:r>
    </w:p>
    <w:p>
      <w:pPr>
        <w:spacing w:after="80" w:before="180" w:line="276"/>
      </w:pPr>
      <w:r>
        <w:rPr>
          <w:rFonts w:ascii="Georgia" w:cs="Georgia" w:eastAsia="Georgia" w:hAnsi="Georgia"/>
          <w:b/>
          <w:bCs/>
          <w:color w:val="1A1A1A"/>
          <w:sz w:val="21"/>
          <w:szCs w:val="21"/>
        </w:rPr>
        <w:t xml:space="preserve">4. </w:t>
      </w:r>
      <w:r>
        <w:rPr>
          <w:rFonts w:ascii="Georgia" w:cs="Georgia" w:eastAsia="Georgia" w:hAnsi="Georgia"/>
          <w:b/>
          <w:bCs/>
          <w:color w:val="1A1A1A"/>
          <w:sz w:val="21"/>
          <w:szCs w:val="21"/>
        </w:rPr>
        <w:t xml:space="preserve">Four trial totals in circulation; the authoritative one is 65 days old</w:t>
      </w:r>
      <w:r>
        <w:rPr>
          <w:rFonts w:ascii="Calibri" w:cs="Calibri" w:eastAsia="Calibri" w:hAnsi="Calibri"/>
          <w:color w:val="636363"/>
          <w:sz w:val="16"/>
          <w:szCs w:val="16"/>
        </w:rPr>
        <w:t xml:space="preserve">   — Freshness / Provenance</w:t>
      </w:r>
    </w:p>
    <w:p>
      <w:pPr>
        <w:spacing w:after="80" w:before="0" w:line="276"/>
        <w:ind w:left="360"/>
      </w:pPr>
      <w:r>
        <w:rPr>
          <w:rFonts w:ascii="Georgia" w:cs="Georgia" w:eastAsia="Georgia" w:hAnsi="Georgia"/>
          <w:color w:val="1A1A1A"/>
          <w:sz w:val="21"/>
          <w:szCs w:val="21"/>
        </w:rPr>
        <w:t xml:space="preserve">858 (artefact, 2026-07-17) · 858 (landing page, derived — correct) · 748+ (trial dashboard prose, literal) · 746 (outreach copy ×4, literal) · 767 (live site). The task's question about refreshing 746 has the answer: 746 is a literal to delete, not a number to update.</w:t>
      </w:r>
    </w:p>
    <w:p>
      <w:pPr>
        <w:spacing w:after="80" w:before="0" w:line="276"/>
        <w:ind w:left="360"/>
      </w:pPr>
      <w:r>
        <w:rPr>
          <w:rFonts w:ascii="Georgia" w:cs="Georgia" w:eastAsia="Georgia" w:hAnsi="Georgia"/>
          <w:color w:val="1A1A1A"/>
          <w:sz w:val="21"/>
          <w:szCs w:val="21"/>
        </w:rPr>
        <w:t xml:space="preserve">Three builder scripts hard-code a trial count. Have every surface read metadata.total_trials from clinical_trials_latest.json.</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one grep for a three-digit trial literal outside the artefact returns nothing, and the artefact is under 30 days old.</w:t>
      </w:r>
    </w:p>
    <w:p>
      <w:pPr>
        <w:spacing w:after="80" w:before="180" w:line="276"/>
      </w:pPr>
      <w:r>
        <w:rPr>
          <w:rFonts w:ascii="Georgia" w:cs="Georgia" w:eastAsia="Georgia" w:hAnsi="Georgia"/>
          <w:b/>
          <w:bCs/>
          <w:color w:val="1A1A1A"/>
          <w:sz w:val="21"/>
          <w:szCs w:val="21"/>
        </w:rPr>
        <w:t xml:space="preserve">5. </w:t>
      </w:r>
      <w:r>
        <w:rPr>
          <w:rFonts w:ascii="Georgia" w:cs="Georgia" w:eastAsia="Georgia" w:hAnsi="Georgia"/>
          <w:b/>
          <w:bCs/>
          <w:color w:val="1A1A1A"/>
          <w:sz w:val="21"/>
          <w:szCs w:val="21"/>
        </w:rPr>
        <w:t xml:space="preserve">Methodology.html cites no evidence</w:t>
      </w:r>
      <w:r>
        <w:rPr>
          <w:rFonts w:ascii="Calibri" w:cs="Calibri" w:eastAsia="Calibri" w:hAnsi="Calibri"/>
          <w:color w:val="636363"/>
          <w:sz w:val="16"/>
          <w:szCs w:val="16"/>
        </w:rPr>
        <w:t xml:space="preserve">   — Citations</w:t>
      </w:r>
    </w:p>
    <w:p>
      <w:pPr>
        <w:spacing w:after="80" w:before="0" w:line="276"/>
        <w:ind w:left="360"/>
      </w:pPr>
      <w:r>
        <w:rPr>
          <w:rFonts w:ascii="Georgia" w:cs="Georgia" w:eastAsia="Georgia" w:hAnsi="Georgia"/>
          <w:color w:val="1A1A1A"/>
          <w:sz w:val="21"/>
          <w:szCs w:val="21"/>
        </w:rPr>
        <w:t xml:space="preserve">The page defining the project's evidence standard has zero clickable citations and one empty PubMed href. Last week it had 14 unlinked PMID mentions; those mentions are now gone rather than linked.</w:t>
      </w:r>
    </w:p>
    <w:p>
      <w:pPr>
        <w:spacing w:after="80" w:before="0" w:line="276"/>
        <w:ind w:left="360"/>
      </w:pPr>
      <w:r>
        <w:rPr>
          <w:rFonts w:ascii="Georgia" w:cs="Georgia" w:eastAsia="Georgia" w:hAnsi="Georgia"/>
          <w:color w:val="1A1A1A"/>
          <w:sz w:val="21"/>
          <w:szCs w:val="21"/>
        </w:rPr>
        <w:t xml:space="preserve">Acronym_Database and Prediction_Ledger are defensibly citation-free but still have no written exemption list. An exemption list that grows silently is how a gate stops meaning anything — write the reason next to each name.</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Methodology's citations are restored and linked, and a two-name exemption file exists with reasons.</w:t>
      </w:r>
    </w:p>
    <w:p>
      <w:pPr>
        <w:pStyle w:val="Heading2"/>
        <w:spacing w:after="100" w:before="280"/>
      </w:pPr>
      <w:r>
        <w:rPr>
          <w:rFonts w:ascii="Georgia" w:cs="Georgia" w:eastAsia="Georgia" w:hAnsi="Georgia"/>
          <w:b/>
          <w:bCs/>
          <w:color w:val="1A1A1A"/>
          <w:sz w:val="22"/>
          <w:szCs w:val="22"/>
        </w:rPr>
        <w:t xml:space="preserve">MEDIUM</w:t>
      </w:r>
    </w:p>
    <w:p>
      <w:pPr>
        <w:spacing w:after="80" w:before="180" w:line="276"/>
      </w:pPr>
      <w:r>
        <w:rPr>
          <w:rFonts w:ascii="Georgia" w:cs="Georgia" w:eastAsia="Georgia" w:hAnsi="Georgia"/>
          <w:b/>
          <w:bCs/>
          <w:color w:val="1A1A1A"/>
          <w:sz w:val="21"/>
          <w:szCs w:val="21"/>
        </w:rPr>
        <w:t xml:space="preserve">6. </w:t>
      </w:r>
      <w:r>
        <w:rPr>
          <w:rFonts w:ascii="Georgia" w:cs="Georgia" w:eastAsia="Georgia" w:hAnsi="Georgia"/>
          <w:b/>
          <w:bCs/>
          <w:color w:val="1A1A1A"/>
          <w:sz w:val="21"/>
          <w:szCs w:val="21"/>
        </w:rPr>
        <w:t xml:space="preserve">Prediction_Ledger.html is published but unlinked</w:t>
      </w:r>
      <w:r>
        <w:rPr>
          <w:rFonts w:ascii="Calibri" w:cs="Calibri" w:eastAsia="Calibri" w:hAnsi="Calibri"/>
          <w:color w:val="636363"/>
          <w:sz w:val="16"/>
          <w:szCs w:val="16"/>
        </w:rPr>
        <w:t xml:space="preserve">   — Navigation</w:t>
      </w:r>
    </w:p>
    <w:p>
      <w:pPr>
        <w:spacing w:after="80" w:before="0" w:line="276"/>
        <w:ind w:left="360"/>
      </w:pPr>
      <w:r>
        <w:rPr>
          <w:rFonts w:ascii="Georgia" w:cs="Georgia" w:eastAsia="Georgia" w:hAnsi="Georgia"/>
          <w:color w:val="1A1A1A"/>
          <w:sz w:val="21"/>
          <w:szCs w:val="21"/>
        </w:rPr>
        <w:t xml:space="preserve">34 cards, 35 files. Unchanged from last week. Same page also carries 54 nav injections and zero citations — it appears to sit outside the loop that maintains the other 34.</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the landing page lists 35 of 35, or the file leaves docs/.</w:t>
      </w:r>
    </w:p>
    <w:p>
      <w:pPr>
        <w:spacing w:after="80" w:before="180" w:line="276"/>
      </w:pPr>
      <w:r>
        <w:rPr>
          <w:rFonts w:ascii="Georgia" w:cs="Georgia" w:eastAsia="Georgia" w:hAnsi="Georgia"/>
          <w:b/>
          <w:bCs/>
          <w:color w:val="1A1A1A"/>
          <w:sz w:val="21"/>
          <w:szCs w:val="21"/>
        </w:rPr>
        <w:t xml:space="preserve">7. </w:t>
      </w:r>
      <w:r>
        <w:rPr>
          <w:rFonts w:ascii="Georgia" w:cs="Georgia" w:eastAsia="Georgia" w:hAnsi="Georgia"/>
          <w:b/>
          <w:bCs/>
          <w:color w:val="1A1A1A"/>
          <w:sz w:val="21"/>
          <w:szCs w:val="21"/>
        </w:rPr>
        <w:t xml:space="preserve">233 click handlers unreachable by keyboard</w:t>
      </w:r>
      <w:r>
        <w:rPr>
          <w:rFonts w:ascii="Calibri" w:cs="Calibri" w:eastAsia="Calibri" w:hAnsi="Calibri"/>
          <w:color w:val="636363"/>
          <w:sz w:val="16"/>
          <w:szCs w:val="16"/>
        </w:rPr>
        <w:t xml:space="preserve">   — Accessibility</w:t>
      </w:r>
    </w:p>
    <w:p>
      <w:pPr>
        <w:spacing w:after="80" w:before="0" w:line="276"/>
        <w:ind w:left="360"/>
      </w:pPr>
      <w:r>
        <w:rPr>
          <w:rFonts w:ascii="Georgia" w:cs="Georgia" w:eastAsia="Georgia" w:hAnsi="Georgia"/>
          <w:color w:val="1A1A1A"/>
          <w:sz w:val="21"/>
          <w:szCs w:val="21"/>
        </w:rPr>
        <w:t xml:space="preserve">&lt;div onclick&gt; across 12 dashboards; 150 in Gap_Deep_Dives alone, driving its expand/collapse navigation. Not focusable, does not fire on Enter, invisible to assistive technology.</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add_aria_labels() emits button or tabindex+role+keydown, and the count is zero.</w:t>
      </w:r>
    </w:p>
    <w:p>
      <w:pPr>
        <w:spacing w:after="80" w:before="180" w:line="276"/>
      </w:pPr>
      <w:r>
        <w:rPr>
          <w:rFonts w:ascii="Georgia" w:cs="Georgia" w:eastAsia="Georgia" w:hAnsi="Georgia"/>
          <w:b/>
          <w:bCs/>
          <w:color w:val="1A1A1A"/>
          <w:sz w:val="21"/>
          <w:szCs w:val="21"/>
        </w:rPr>
        <w:t xml:space="preserve">8. </w:t>
      </w:r>
      <w:r>
        <w:rPr>
          <w:rFonts w:ascii="Georgia" w:cs="Georgia" w:eastAsia="Georgia" w:hAnsi="Georgia"/>
          <w:b/>
          <w:bCs/>
          <w:color w:val="1A1A1A"/>
          <w:sz w:val="21"/>
          <w:szCs w:val="21"/>
        </w:rPr>
        <w:t xml:space="preserve">No CI enforces any gate</w:t>
      </w:r>
      <w:r>
        <w:rPr>
          <w:rFonts w:ascii="Calibri" w:cs="Calibri" w:eastAsia="Calibri" w:hAnsi="Calibri"/>
          <w:color w:val="636363"/>
          <w:sz w:val="16"/>
          <w:szCs w:val="16"/>
        </w:rPr>
        <w:t xml:space="preserve">   — Build integrity</w:t>
      </w:r>
    </w:p>
    <w:p>
      <w:pPr>
        <w:spacing w:after="80" w:before="0" w:line="276"/>
        <w:ind w:left="360"/>
      </w:pPr>
      <w:r>
        <w:rPr>
          <w:rFonts w:ascii="Georgia" w:cs="Georgia" w:eastAsia="Georgia" w:hAnsi="Georgia"/>
          <w:color w:val="1A1A1A"/>
          <w:sz w:val="21"/>
          <w:szCs w:val="21"/>
        </w:rPr>
        <w:t xml:space="preserve">.github/workflows absent. 156 scripts, 16 citation audits, several self-described as failing the run — none runs on push or PR. Add a PR template while you are there.</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a pull request that breaks a citation gate is blocked by a check rather than by someone remembering.</w:t>
      </w:r>
    </w:p>
    <w:p>
      <w:pPr>
        <w:spacing w:after="80" w:before="180" w:line="276"/>
      </w:pPr>
      <w:r>
        <w:rPr>
          <w:rFonts w:ascii="Georgia" w:cs="Georgia" w:eastAsia="Georgia" w:hAnsi="Georgia"/>
          <w:b/>
          <w:bCs/>
          <w:color w:val="1A1A1A"/>
          <w:sz w:val="21"/>
          <w:szCs w:val="21"/>
        </w:rPr>
        <w:t xml:space="preserve">9. </w:t>
      </w:r>
      <w:r>
        <w:rPr>
          <w:rFonts w:ascii="Georgia" w:cs="Georgia" w:eastAsia="Georgia" w:hAnsi="Georgia"/>
          <w:b/>
          <w:bCs/>
          <w:color w:val="1A1A1A"/>
          <w:sz w:val="21"/>
          <w:szCs w:val="21"/>
        </w:rPr>
        <w:t xml:space="preserve">Three dashboards use role=tab without role=tablist</w:t>
      </w:r>
      <w:r>
        <w:rPr>
          <w:rFonts w:ascii="Calibri" w:cs="Calibri" w:eastAsia="Calibri" w:hAnsi="Calibri"/>
          <w:color w:val="636363"/>
          <w:sz w:val="16"/>
          <w:szCs w:val="16"/>
        </w:rPr>
        <w:t xml:space="preserve">   — Accessibility</w:t>
      </w:r>
    </w:p>
    <w:p>
      <w:pPr>
        <w:spacing w:after="80" w:before="0" w:line="276"/>
        <w:ind w:left="360"/>
      </w:pPr>
      <w:r>
        <w:rPr>
          <w:rFonts w:ascii="Georgia" w:cs="Georgia" w:eastAsia="Georgia" w:hAnsi="Georgia"/>
          <w:color w:val="1A1A1A"/>
          <w:sz w:val="21"/>
          <w:szCs w:val="21"/>
        </w:rPr>
        <w:t xml:space="preserve">Gap_Synthesis, Immunomod_LADA, LADA_Prevalence. The other 32 tabbed dashboards do it correctly, so this is builder drift.</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every role=tab sits inside a role=tablist across all 35.</w:t>
      </w:r>
    </w:p>
    <w:p>
      <w:pPr>
        <w:pStyle w:val="Heading2"/>
        <w:spacing w:after="100" w:before="280"/>
      </w:pPr>
      <w:r>
        <w:rPr>
          <w:rFonts w:ascii="Georgia" w:cs="Georgia" w:eastAsia="Georgia" w:hAnsi="Georgia"/>
          <w:b/>
          <w:bCs/>
          <w:color w:val="1A1A1A"/>
          <w:sz w:val="22"/>
          <w:szCs w:val="22"/>
        </w:rPr>
        <w:t xml:space="preserve">LOW</w:t>
      </w:r>
    </w:p>
    <w:p>
      <w:pPr>
        <w:spacing w:after="80" w:before="180" w:line="276"/>
      </w:pPr>
      <w:r>
        <w:rPr>
          <w:rFonts w:ascii="Georgia" w:cs="Georgia" w:eastAsia="Georgia" w:hAnsi="Georgia"/>
          <w:b/>
          <w:bCs/>
          <w:color w:val="1A1A1A"/>
          <w:sz w:val="21"/>
          <w:szCs w:val="21"/>
        </w:rPr>
        <w:t xml:space="preserve">10. </w:t>
      </w:r>
      <w:r>
        <w:rPr>
          <w:rFonts w:ascii="Georgia" w:cs="Georgia" w:eastAsia="Georgia" w:hAnsi="Georgia"/>
          <w:b/>
          <w:bCs/>
          <w:color w:val="1A1A1A"/>
          <w:sz w:val="21"/>
          <w:szCs w:val="21"/>
        </w:rPr>
        <w:t xml:space="preserve">No CITATION.cff</w:t>
      </w:r>
      <w:r>
        <w:rPr>
          <w:rFonts w:ascii="Calibri" w:cs="Calibri" w:eastAsia="Calibri" w:hAnsi="Calibri"/>
          <w:color w:val="636363"/>
          <w:sz w:val="16"/>
          <w:szCs w:val="16"/>
        </w:rPr>
        <w:t xml:space="preserve">   — Collaboration</w:t>
      </w:r>
    </w:p>
    <w:p>
      <w:pPr>
        <w:spacing w:after="80" w:before="0" w:line="276"/>
        <w:ind w:left="360"/>
      </w:pPr>
      <w:r>
        <w:rPr>
          <w:rFonts w:ascii="Georgia" w:cs="Georgia" w:eastAsia="Georgia" w:hAnsi="Georgia"/>
          <w:color w:val="1A1A1A"/>
          <w:sz w:val="21"/>
          <w:szCs w:val="21"/>
        </w:rPr>
        <w:t xml:space="preserve">~15 lines carrying the OSF DOI (osf.io/hu9ga) gives GitHub's "Cite this repository" button.</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the button appears on the repo page.</w:t>
      </w:r>
    </w:p>
    <w:p>
      <w:pPr>
        <w:spacing w:after="80" w:before="180" w:line="276"/>
      </w:pPr>
      <w:r>
        <w:rPr>
          <w:rFonts w:ascii="Georgia" w:cs="Georgia" w:eastAsia="Georgia" w:hAnsi="Georgia"/>
          <w:b/>
          <w:bCs/>
          <w:color w:val="1A1A1A"/>
          <w:sz w:val="21"/>
          <w:szCs w:val="21"/>
        </w:rPr>
        <w:t xml:space="preserve">11. </w:t>
      </w:r>
      <w:r>
        <w:rPr>
          <w:rFonts w:ascii="Georgia" w:cs="Georgia" w:eastAsia="Georgia" w:hAnsi="Georgia"/>
          <w:b/>
          <w:bCs/>
          <w:color w:val="1A1A1A"/>
          <w:sz w:val="21"/>
          <w:szCs w:val="21"/>
        </w:rPr>
        <w:t xml:space="preserve">No CODE_OF_CONDUCT.md</w:t>
      </w:r>
      <w:r>
        <w:rPr>
          <w:rFonts w:ascii="Calibri" w:cs="Calibri" w:eastAsia="Calibri" w:hAnsi="Calibri"/>
          <w:color w:val="636363"/>
          <w:sz w:val="16"/>
          <w:szCs w:val="16"/>
        </w:rPr>
        <w:t xml:space="preserve">   — Collaboration</w:t>
      </w:r>
    </w:p>
    <w:p>
      <w:pPr>
        <w:spacing w:after="80" w:before="0" w:line="276"/>
        <w:ind w:left="360"/>
      </w:pPr>
      <w:r>
        <w:rPr>
          <w:rFonts w:ascii="Georgia" w:cs="Georgia" w:eastAsia="Georgia" w:hAnsi="Georgia"/>
          <w:color w:val="1A1A1A"/>
          <w:sz w:val="21"/>
          <w:szCs w:val="21"/>
        </w:rPr>
        <w:t xml:space="preserve">Expected for a project whose landing page invites collaboration.</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the file exists and CONTRIBUTING.md links it.</w:t>
      </w:r>
    </w:p>
    <w:p>
      <w:pPr>
        <w:spacing w:after="80" w:before="180" w:line="276"/>
      </w:pPr>
      <w:r>
        <w:rPr>
          <w:rFonts w:ascii="Georgia" w:cs="Georgia" w:eastAsia="Georgia" w:hAnsi="Georgia"/>
          <w:b/>
          <w:bCs/>
          <w:color w:val="1A1A1A"/>
          <w:sz w:val="21"/>
          <w:szCs w:val="21"/>
        </w:rPr>
        <w:t xml:space="preserve">12. </w:t>
      </w:r>
      <w:r>
        <w:rPr>
          <w:rFonts w:ascii="Georgia" w:cs="Georgia" w:eastAsia="Georgia" w:hAnsi="Georgia"/>
          <w:b/>
          <w:bCs/>
          <w:color w:val="1A1A1A"/>
          <w:sz w:val="21"/>
          <w:szCs w:val="21"/>
        </w:rPr>
        <w:t xml:space="preserve">Nav CSS duplicated in all 35 files</w:t>
      </w:r>
      <w:r>
        <w:rPr>
          <w:rFonts w:ascii="Calibri" w:cs="Calibri" w:eastAsia="Calibri" w:hAnsi="Calibri"/>
          <w:color w:val="636363"/>
          <w:sz w:val="16"/>
          <w:szCs w:val="16"/>
        </w:rPr>
        <w:t xml:space="preserve">   — Navigation</w:t>
      </w:r>
    </w:p>
    <w:p>
      <w:pPr>
        <w:spacing w:after="80" w:before="0" w:line="276"/>
        <w:ind w:left="360"/>
      </w:pPr>
      <w:r>
        <w:rPr>
          <w:rFonts w:ascii="Georgia" w:cs="Georgia" w:eastAsia="Georgia" w:hAnsi="Georgia"/>
          <w:color w:val="1A1A1A"/>
          <w:sz w:val="21"/>
          <w:szCs w:val="21"/>
        </w:rPr>
        <w:t xml:space="preserve">Two copies each, 54 in Prediction_Ledger. Harmless in bytes; diagnostic of finding 3.</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each file contains the block once.</w:t>
      </w:r>
    </w:p>
    <w:p>
      <w:pPr>
        <w:spacing w:after="80" w:before="180" w:line="276"/>
      </w:pPr>
      <w:r>
        <w:rPr>
          <w:rFonts w:ascii="Georgia" w:cs="Georgia" w:eastAsia="Georgia" w:hAnsi="Georgia"/>
          <w:b/>
          <w:bCs/>
          <w:color w:val="1A1A1A"/>
          <w:sz w:val="21"/>
          <w:szCs w:val="21"/>
        </w:rPr>
        <w:t xml:space="preserve">13. </w:t>
      </w:r>
      <w:r>
        <w:rPr>
          <w:rFonts w:ascii="Georgia" w:cs="Georgia" w:eastAsia="Georgia" w:hAnsi="Georgia"/>
          <w:b/>
          <w:bCs/>
          <w:color w:val="1A1A1A"/>
          <w:sz w:val="21"/>
          <w:szCs w:val="21"/>
        </w:rPr>
        <w:t xml:space="preserve">Muted greys clear AA but not AAA</w:t>
      </w:r>
      <w:r>
        <w:rPr>
          <w:rFonts w:ascii="Calibri" w:cs="Calibri" w:eastAsia="Calibri" w:hAnsi="Calibri"/>
          <w:color w:val="636363"/>
          <w:sz w:val="16"/>
          <w:szCs w:val="16"/>
        </w:rPr>
        <w:t xml:space="preserve">   — Accessibility</w:t>
      </w:r>
    </w:p>
    <w:p>
      <w:pPr>
        <w:spacing w:after="80" w:before="0" w:line="276"/>
        <w:ind w:left="360"/>
      </w:pPr>
      <w:r>
        <w:rPr>
          <w:rFonts w:ascii="Georgia" w:cs="Georgia" w:eastAsia="Georgia" w:hAnsi="Georgia"/>
          <w:color w:val="1A1A1A"/>
          <w:sz w:val="21"/>
          <w:szCs w:val="21"/>
        </w:rPr>
        <w:t xml:space="preserve">#636363 measures 5.75:1. #595959 clears 7:1 with no visible change.</w:t>
      </w:r>
    </w:p>
    <w:p>
      <w:pPr>
        <w:spacing w:after="60"/>
        <w:ind w:left="360"/>
      </w:pPr>
      <w:r>
        <w:rPr>
          <w:rFonts w:ascii="Calibri" w:cs="Calibri" w:eastAsia="Calibri" w:hAnsi="Calibri"/>
          <w:b/>
          <w:bCs/>
          <w:color w:val="636363"/>
          <w:sz w:val="16"/>
          <w:szCs w:val="16"/>
        </w:rPr>
        <w:t xml:space="preserve">Clears when: </w:t>
      </w:r>
      <w:r>
        <w:rPr>
          <w:rFonts w:ascii="Calibri" w:cs="Calibri" w:eastAsia="Calibri" w:hAnsi="Calibri"/>
          <w:i/>
          <w:iCs/>
          <w:color w:val="636363"/>
          <w:sz w:val="16"/>
          <w:szCs w:val="16"/>
        </w:rPr>
        <w:t xml:space="preserve">you decide AAA is a goal — it is not required.</w:t>
      </w:r>
    </w:p>
    <w:p>
      <w:r>
        <w:br w:type="page"/>
      </w:r>
    </w:p>
    <w:p>
      <w:pPr>
        <w:pStyle w:val="Heading1"/>
        <w:pBdr>
          <w:bottom w:val="single" w:color="1A1A1A" w:sz="2"/>
        </w:pBdr>
        <w:spacing w:after="160" w:before="400"/>
      </w:pPr>
      <w:r>
        <w:rPr>
          <w:rFonts w:ascii="Georgia" w:cs="Georgia" w:eastAsia="Georgia" w:hAnsi="Georgia"/>
          <w:b/>
          <w:bCs/>
          <w:color w:val="1A1A1A"/>
          <w:sz w:val="26"/>
          <w:szCs w:val="26"/>
        </w:rPr>
        <w:t xml:space="preserve">Against last week</w:t>
      </w:r>
    </w:p>
    <w:p>
      <w:pPr>
        <w:spacing w:after="140" w:before="0" w:line="276"/>
      </w:pPr>
      <w:r>
        <w:rPr>
          <w:rFonts w:ascii="Calibri" w:cs="Calibri" w:eastAsia="Calibri" w:hAnsi="Calibri"/>
          <w:color w:val="636363"/>
          <w:sz w:val="16"/>
          <w:szCs w:val="16"/>
        </w:rPr>
        <w:t xml:space="preserve">Prior report: Platform_Audit_2026-09-13.md. Its .docx was not produced — the sandbox could not mount the repository that week.</w:t>
      </w:r>
    </w:p>
    <w:tbl>
      <w:tblPr>
        <w:tblW w:type="dxa" w:w="9540"/>
        <w:tblBorders>
          <w:top w:val="none"/>
          <w:left w:val="none"/>
          <w:bottom w:val="none"/>
          <w:right w:val="none"/>
          <w:insideH w:val="none"/>
          <w:insideV w:val="none"/>
        </w:tblBorders>
      </w:tblPr>
      <w:tblGrid>
        <w:gridCol w:w="4500"/>
        <w:gridCol w:w="1500"/>
        <w:gridCol w:w="3540"/>
      </w:tblGrid>
      <w:tr>
        <w:trPr>
          <w:tblHeader/>
        </w:trPr>
        <w:tc>
          <w:tcPr>
            <w:tcW w:type="dxa" w:w="45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Prior finding</w:t>
            </w:r>
          </w:p>
        </w:tc>
        <w:tc>
          <w:tcPr>
            <w:tcW w:type="dxa" w:w="15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Now</w:t>
            </w:r>
          </w:p>
        </w:tc>
        <w:tc>
          <w:tcPr>
            <w:tcW w:type="dxa" w:w="35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1A1A1A"/>
                <w:sz w:val="15"/>
                <w:szCs w:val="15"/>
              </w:rPr>
              <w:t xml:space="preserve">Detail</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H1  Nav bar missing from 24 source files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3A6B3A"/>
                <w:sz w:val="16"/>
                <w:szCs w:val="16"/>
              </w:rPr>
              <w:t xml:space="preserve">CLOSED</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35/35 both trees — but see finding 3</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H2  Three dashboards cite nothing clickable</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8A6A1F"/>
                <w:sz w:val="16"/>
                <w:szCs w:val="16"/>
              </w:rPr>
              <w:t xml:space="preserve">OPEN</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same three; Methodology degraded</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H3  Trial count: three figures in circulation</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A03024"/>
                <w:sz w:val="16"/>
                <w:szCs w:val="16"/>
              </w:rPr>
              <w:t xml:space="preserve">WORSE</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now four; artefact 65 d old</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M4  Prediction_Ledger unlinked</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8A6A1F"/>
                <w:sz w:val="16"/>
                <w:szCs w:val="16"/>
              </w:rPr>
              <w:t xml:space="preserve">OPEN</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unchanged</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M5  PMIDs published as bare text</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3A6B3A"/>
                <w:sz w:val="16"/>
                <w:szCs w:val="16"/>
              </w:rPr>
              <w:t xml:space="preserve">CLOSED</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0 unlinked-only, measured</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M6  Daily pipeline had not run in 5 days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3A6B3A"/>
                <w:sz w:val="16"/>
                <w:szCs w:val="16"/>
              </w:rPr>
              <w:t xml:space="preserve">CLOSED</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reports rendered today</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M7  Duplicate-PMID review candidates</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3A6B3A"/>
                <w:sz w:val="16"/>
                <w:szCs w:val="16"/>
              </w:rPr>
              <w:t xml:space="preserve">CLOSED</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0 across 1,142 citations</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M8  Site reachability unverified</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bCs/>
                <w:color w:val="A03024"/>
                <w:sz w:val="16"/>
                <w:szCs w:val="16"/>
              </w:rPr>
              <w:t xml:space="preserve">VERIFIED RED</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154 days stale — now finding 1</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L9  No CITATION.cff</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8A6A1F"/>
                <w:sz w:val="16"/>
                <w:szCs w:val="16"/>
              </w:rPr>
              <w:t xml:space="preserve">OPEN</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unchanged</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L10 No PR template</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8A6A1F"/>
                <w:sz w:val="16"/>
                <w:szCs w:val="16"/>
              </w:rPr>
              <w:t xml:space="preserve">OPEN</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and no CI at all</w:t>
            </w:r>
          </w:p>
        </w:tc>
      </w:tr>
      <w:tr>
        <w:tc>
          <w:tcPr>
            <w:tcW w:type="dxa" w:w="4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L11 No CODE_OF_CONDUCT.md</w:t>
            </w:r>
          </w:p>
        </w:tc>
        <w:tc>
          <w:tcPr>
            <w:tcW w:type="dxa" w:w="150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8A6A1F"/>
                <w:sz w:val="16"/>
                <w:szCs w:val="16"/>
              </w:rPr>
              <w:t xml:space="preserve">OPEN</w:t>
            </w:r>
          </w:p>
        </w:tc>
        <w:tc>
          <w:tcPr>
            <w:tcW w:type="dxa" w:w="3540"/>
            <w:tcBorders>
              <w:top w:val="none"/>
              <w:left w:val="none"/>
              <w:bottom w:val="single" w:color="E8E8E8"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unchanged</w:t>
            </w:r>
          </w:p>
        </w:tc>
      </w:tr>
      <w:tr>
        <w:tc>
          <w:tcPr>
            <w:tcW w:type="dxa" w:w="45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 not previously detected</w:t>
            </w:r>
          </w:p>
        </w:tc>
        <w:tc>
          <w:tcPr>
            <w:tcW w:type="dxa" w:w="150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bCs/>
                <w:color w:val="A03024"/>
                <w:sz w:val="16"/>
                <w:szCs w:val="16"/>
              </w:rPr>
              <w:t xml:space="preserve">NEW</w:t>
            </w:r>
          </w:p>
        </w:tc>
        <w:tc>
          <w:tcPr>
            <w:tcW w:type="dxa" w:w="3540"/>
            <w:tcBorders>
              <w:top w:val="none"/>
              <w:left w:val="none"/>
              <w:bottom w:val="single" w:color="1A1A1A" w:sz="2"/>
              <w:right w:val="none"/>
            </w:tcBorders>
            <w:tcMar>
              <w:top w:type="dxa" w:w="60"/>
              <w:left w:type="dxa" w:w="80"/>
              <w:bottom w:type="dxa" w:w="60"/>
              <w:right w:type="dxa" w:w="80"/>
            </w:tcMar>
          </w:tcPr>
          <w:p>
            <w:pPr>
              <w:spacing w:after="0" w:line="240"/>
              <w:jc w:val="left"/>
            </w:pPr>
            <w:r>
              <w:rPr>
                <w:rFonts w:ascii="Calibri" w:cs="Calibri" w:eastAsia="Calibri" w:hAnsi="Calibri"/>
                <w:b w:val="false"/>
                <w:bCs w:val="false"/>
                <w:color w:val="1A1A1A"/>
                <w:sz w:val="16"/>
                <w:szCs w:val="16"/>
              </w:rPr>
              <w:t xml:space="preserve">11 broken citation links, 2 builders</w:t>
            </w:r>
          </w:p>
        </w:tc>
      </w:tr>
    </w:tbl>
    <w:p>
      <w:pPr>
        <w:spacing w:after="0" w:before="160" w:line="276"/>
      </w:pPr>
      <w:r>
        <w:rPr>
          <w:rFonts w:ascii="Georgia" w:cs="Georgia" w:eastAsia="Georgia" w:hAnsi="Georgia"/>
          <w:color w:val="1A1A1A"/>
          <w:sz w:val="21"/>
          <w:szCs w:val="21"/>
        </w:rPr>
        <w:t xml:space="preserve">Four closed, five open, one worse, one confirmed red. The closures are real and two of them (bare-text PMIDs, duplicate citations) were closed by measurement rather than assertion. The pattern worth noticing: the two findings that got worse are both provenance — one number with several copies, one citation field with several meanings. This platform's instance-level hygiene is good and its single-source-of-truth discipline is where it loses ground.</w:t>
      </w:r>
    </w:p>
    <w:p>
      <w:pPr>
        <w:pStyle w:val="Heading1"/>
        <w:pBdr>
          <w:bottom w:val="single" w:color="1A1A1A" w:sz="2"/>
        </w:pBdr>
        <w:spacing w:after="160" w:before="400"/>
      </w:pPr>
      <w:r>
        <w:rPr>
          <w:rFonts w:ascii="Georgia" w:cs="Georgia" w:eastAsia="Georgia" w:hAnsi="Georgia"/>
          <w:b/>
          <w:bCs/>
          <w:color w:val="1A1A1A"/>
          <w:sz w:val="26"/>
          <w:szCs w:val="26"/>
        </w:rPr>
        <w:t xml:space="preserve">Method and limits</w:t>
      </w:r>
    </w:p>
    <w:p>
      <w:pPr>
        <w:spacing w:after="120" w:before="0" w:line="276"/>
      </w:pPr>
      <w:r>
        <w:rPr>
          <w:rFonts w:ascii="Georgia" w:cs="Georgia" w:eastAsia="Georgia" w:hAnsi="Georgia"/>
          <w:color w:val="1A1A1A"/>
          <w:sz w:val="21"/>
          <w:szCs w:val="21"/>
        </w:rPr>
        <w:t xml:space="preserve">Measured directly from the working tree at C:\Users\justi\OneDrive\Diabetes_Research on 2026-09-20, plus one fetch of the live landing page. Counts are from the published copies under docs/Dashboards/ unless stated. "PMIDs" means distinct pubmed.ncbi.nlm.nih.gov hyperlink targets.</w:t>
      </w:r>
    </w:p>
    <w:p>
      <w:pPr>
        <w:spacing w:after="140" w:before="0" w:line="276"/>
      </w:pPr>
      <w:r>
        <w:rPr>
          <w:rFonts w:ascii="Georgia" w:cs="Georgia" w:eastAsia="Georgia" w:hAnsi="Georgia"/>
          <w:color w:val="1A1A1A"/>
          <w:sz w:val="21"/>
          <w:szCs w:val="21"/>
        </w:rPr>
        <w:t xml:space="preserve">One correction made during this audit, recorded because the process is the point. </w:t>
      </w:r>
      <w:r>
        <w:rPr>
          <w:rFonts w:ascii="Georgia" w:cs="Georgia" w:eastAsia="Georgia" w:hAnsi="Georgia"/>
          <w:color w:val="1A1A1A"/>
          <w:sz w:val="21"/>
          <w:szCs w:val="21"/>
        </w:rPr>
        <w:t xml:space="preserve">The citation-URL finding was first measured at 16 defects across 4 files. Five were false positives — three JavaScript template literals, one builder that already validates its PMIDs before constructing the URL, and one legitimate link to PubMed's front page. Re-measured with those excluded, and with a second file the first pass had missed, the count is 11 broken across 3 files. The first number erred in the direction that makes the report look more alarming, which is the direction to distrust first.</w:t>
      </w:r>
    </w:p>
    <w:p>
      <w:pPr>
        <w:spacing w:after="0" w:before="0" w:line="276"/>
      </w:pPr>
      <w:r>
        <w:rPr>
          <w:rFonts w:ascii="Georgia" w:cs="Georgia" w:eastAsia="Georgia" w:hAnsi="Georgia"/>
          <w:color w:val="1A1A1A"/>
          <w:sz w:val="21"/>
          <w:szCs w:val="21"/>
        </w:rPr>
        <w:t xml:space="preserve">Three further limits worth stating. The full pipeline was not run to completion — see §3; the six gates reported there were run individually and did pass. Individual live dashboard URLs were not fetched: only the landing page was retrievable this run, so the live-site finding rests on that page plus git ref dates. And the duplicate-PMID check uses hyperlink text as the study identity, which catches one PMID published under two titles but not one PMID supporting two different claims in prose — audit_citation_semantic_support.py is the authority there and was not run.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A9A9A"/>
        <w:sz w:val="14"/>
        <w:szCs w:val="14"/>
      </w:rPr>
      <w:t xml:space="preserve">Platform Audit · Diabetes Research Hub · 2026-09-20 · </w:t>
    </w:r>
    <w:r>
      <w:rPr>
        <w:rFonts w:ascii="Calibri" w:cs="Calibri" w:eastAsia="Calibri" w:hAnsi="Calibri"/>
        <w:color w:val="9A9A9A"/>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Platform Audit — 2026-09-20</dc:title>
  <dc:creator>Diabetes Research Hub weekly audit</dc:creator>
  <cp:lastModifiedBy>Un-named</cp:lastModifiedBy>
  <cp:revision>1</cp:revision>
  <dcterms:created xsi:type="dcterms:W3CDTF">2026-09-20T14:21:41.991Z</dcterms:created>
  <dcterms:modified xsi:type="dcterms:W3CDTF">2026-09-20T14:21:41.991Z</dcterms:modified>
</cp:coreProperties>
</file>

<file path=docProps/custom.xml><?xml version="1.0" encoding="utf-8"?>
<Properties xmlns="http://schemas.openxmlformats.org/officeDocument/2006/custom-properties" xmlns:vt="http://schemas.openxmlformats.org/officeDocument/2006/docPropsVTypes"/>
</file>