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C"/>
          <w:sz w:val="18"/>
          <w:szCs w:val="18"/>
        </w:rPr>
        <w:t xml:space="preserve">DEEPSHIFT AI · AI SUMMER INTERNSHIP 2026</w:t>
      </w:r>
    </w:p>
    <w:p>
      <w:pPr>
        <w:spacing w:after="60"/>
      </w:pPr>
      <w:r>
        <w:rPr>
          <w:b/>
          <w:bCs/>
          <w:color w:val="111111"/>
          <w:sz w:val="32"/>
          <w:szCs w:val="32"/>
        </w:rPr>
        <w:t xml:space="preserve">State-of-the-Art Note: Automated Red-Teaming Harness for Prompt-Injection &amp; Jailbreak Discovery</w:t>
      </w:r>
    </w:p>
    <w:p>
      <w:pPr>
        <w:spacing w:after="240"/>
      </w:pPr>
      <w:r>
        <w:rPr>
          <w:i/>
          <w:iCs/>
          <w:color w:val="595959"/>
          <w:sz w:val="19"/>
          <w:szCs w:val="19"/>
        </w:rPr>
        <w:t xml:space="preserve">Weeks 1–2 deliverable · Positions the project against the current benchmark, attack, and defense landscape (as of mid-2026)</w:t>
      </w:r>
    </w:p>
    <w:p>
      <w:pPr>
        <w:pStyle w:val="Heading1"/>
        <w:spacing w:after="120" w:before="280"/>
      </w:pPr>
      <w:r>
        <w:rPr>
          <w:b/>
          <w:bCs/>
          <w:color w:val="1F4E5C"/>
          <w:sz w:val="26"/>
          <w:szCs w:val="26"/>
        </w:rPr>
        <w:t xml:space="preserve">1. Scope and Purpose</w:t>
      </w:r>
    </w:p>
    <w:p>
      <w:pPr>
        <w:spacing w:after="140" w:line="276"/>
      </w:pPr>
      <w:r>
        <w:rPr>
          <w:sz w:val="21"/>
          <w:szCs w:val="21"/>
        </w:rPr>
        <w:t xml:space="preserve">This note surveys all ten references named in the project brief's Section 12: </w:t>
      </w:r>
      <w:r>
        <w:rPr>
          <w:b/>
          <w:bCs/>
          <w:sz w:val="21"/>
          <w:szCs w:val="21"/>
        </w:rPr>
        <w:t xml:space="preserve">AgentDojo</w:t>
      </w:r>
      <w:r>
        <w:rPr>
          <w:sz w:val="21"/>
          <w:szCs w:val="21"/>
        </w:rPr>
        <w:t xml:space="preserve"> and </w:t>
      </w:r>
      <w:r>
        <w:rPr>
          <w:b/>
          <w:bCs/>
          <w:sz w:val="21"/>
          <w:szCs w:val="21"/>
        </w:rPr>
        <w:t xml:space="preserve">AgentHarm</w:t>
      </w:r>
      <w:r>
        <w:rPr>
          <w:sz w:val="21"/>
          <w:szCs w:val="21"/>
        </w:rPr>
        <w:t xml:space="preserve"> as evaluation frameworks; </w:t>
      </w:r>
      <w:r>
        <w:rPr>
          <w:b/>
          <w:bCs/>
          <w:sz w:val="21"/>
          <w:szCs w:val="21"/>
        </w:rPr>
        <w:t xml:space="preserve">PAIR</w:t>
      </w:r>
      <w:r>
        <w:rPr>
          <w:sz w:val="21"/>
          <w:szCs w:val="21"/>
        </w:rPr>
        <w:t xml:space="preserve">, </w:t>
      </w:r>
      <w:r>
        <w:rPr>
          <w:b/>
          <w:bCs/>
          <w:sz w:val="21"/>
          <w:szCs w:val="21"/>
        </w:rPr>
        <w:t xml:space="preserve">TAP</w:t>
      </w:r>
      <w:r>
        <w:rPr>
          <w:sz w:val="21"/>
          <w:szCs w:val="21"/>
        </w:rPr>
        <w:t xml:space="preserve">, </w:t>
      </w:r>
      <w:r>
        <w:rPr>
          <w:b/>
          <w:bCs/>
          <w:sz w:val="21"/>
          <w:szCs w:val="21"/>
        </w:rPr>
        <w:t xml:space="preserve">GCG</w:t>
      </w:r>
      <w:r>
        <w:rPr>
          <w:sz w:val="21"/>
          <w:szCs w:val="21"/>
        </w:rPr>
        <w:t xml:space="preserve">, and </w:t>
      </w:r>
      <w:r>
        <w:rPr>
          <w:b/>
          <w:bCs/>
          <w:sz w:val="21"/>
          <w:szCs w:val="21"/>
        </w:rPr>
        <w:t xml:space="preserve">AutoDAN</w:t>
      </w:r>
      <w:r>
        <w:rPr>
          <w:sz w:val="21"/>
          <w:szCs w:val="21"/>
        </w:rPr>
        <w:t xml:space="preserve"> as attack-generation methods; eight defense families evaluated for adaptive-attack robustness in Zhan et al. (2025); and the taxonomy/tooling layer — </w:t>
      </w:r>
      <w:r>
        <w:rPr>
          <w:b/>
          <w:bCs/>
          <w:sz w:val="21"/>
          <w:szCs w:val="21"/>
        </w:rPr>
        <w:t xml:space="preserve">OWASP LLM Top 10</w:t>
      </w:r>
      <w:r>
        <w:rPr>
          <w:sz w:val="21"/>
          <w:szCs w:val="21"/>
        </w:rPr>
        <w:t xml:space="preserve">, </w:t>
      </w:r>
      <w:r>
        <w:rPr>
          <w:b/>
          <w:bCs/>
          <w:sz w:val="21"/>
          <w:szCs w:val="21"/>
        </w:rPr>
        <w:t xml:space="preserve">JailbreakBench</w:t>
      </w:r>
      <w:r>
        <w:rPr>
          <w:sz w:val="21"/>
          <w:szCs w:val="21"/>
        </w:rPr>
        <w:t xml:space="preserve">, </w:t>
      </w:r>
      <w:r>
        <w:rPr>
          <w:b/>
          <w:bCs/>
          <w:sz w:val="21"/>
          <w:szCs w:val="21"/>
        </w:rPr>
        <w:t xml:space="preserve">Garak</w:t>
      </w:r>
      <w:r>
        <w:rPr>
          <w:sz w:val="21"/>
          <w:szCs w:val="21"/>
        </w:rPr>
        <w:t xml:space="preserve">, </w:t>
      </w:r>
      <w:r>
        <w:rPr>
          <w:b/>
          <w:bCs/>
          <w:sz w:val="21"/>
          <w:szCs w:val="21"/>
        </w:rPr>
        <w:t xml:space="preserve">PyRIT</w:t>
      </w:r>
      <w:r>
        <w:rPr>
          <w:sz w:val="21"/>
          <w:szCs w:val="21"/>
        </w:rPr>
        <w:t xml:space="preserve">, </w:t>
      </w:r>
      <w:r>
        <w:rPr>
          <w:b/>
          <w:bCs/>
          <w:sz w:val="21"/>
          <w:szCs w:val="21"/>
        </w:rPr>
        <w:t xml:space="preserve">LlamaFirewall/PromptGuard 2</w:t>
      </w:r>
      <w:r>
        <w:rPr>
          <w:sz w:val="21"/>
          <w:szCs w:val="21"/>
        </w:rPr>
        <w:t xml:space="preserve">, and </w:t>
      </w:r>
      <w:r>
        <w:rPr>
          <w:b/>
          <w:bCs/>
          <w:sz w:val="21"/>
          <w:szCs w:val="21"/>
        </w:rPr>
        <w:t xml:space="preserve">CaMeL</w:t>
      </w:r>
      <w:r>
        <w:rPr>
          <w:sz w:val="21"/>
          <w:szCs w:val="21"/>
        </w:rPr>
        <w:t xml:space="preserve">. Every architectural choice in Sections 3, 4, and 6 of the project methodology (attacker-LLM design, mutation engine, defense evaluation, tooling selection) traces back to a specific finding below.</w:t>
      </w:r>
    </w:p>
    <w:p>
      <w:pPr>
        <w:pStyle w:val="Heading1"/>
        <w:spacing w:after="120" w:before="280"/>
      </w:pPr>
      <w:r>
        <w:rPr>
          <w:b/>
          <w:bCs/>
          <w:color w:val="1F4E5C"/>
          <w:sz w:val="26"/>
          <w:szCs w:val="26"/>
        </w:rPr>
        <w:t xml:space="preserve">2. Benchmarks and Evaluation Frameworks</w:t>
      </w:r>
    </w:p>
    <w:p>
      <w:pPr>
        <w:pStyle w:val="Heading2"/>
        <w:spacing w:after="80" w:before="200"/>
      </w:pPr>
      <w:r>
        <w:rPr>
          <w:b/>
          <w:bCs/>
          <w:color w:val="222222"/>
          <w:sz w:val="22"/>
          <w:szCs w:val="22"/>
        </w:rPr>
        <w:t xml:space="preserve">2.1 AgentDojo — the victim-agent scaffold</w:t>
      </w:r>
    </w:p>
    <w:p>
      <w:pPr>
        <w:spacing w:after="140" w:line="276"/>
      </w:pPr>
      <w:r>
        <w:rPr>
          <w:sz w:val="21"/>
          <w:szCs w:val="21"/>
        </w:rPr>
        <w:t xml:space="preserve">AgentDojo (Debenedetti et al., 2024) is the benchmark this project's victim agent (Step 1) is built on top of. It provides four stateful environments (Workspace, Slack, Travel, Banking), 97 user tasks, and 629 combined security test cases, each pairing a legitimate </w:t>
      </w:r>
      <w:r>
        <w:rPr>
          <w:i/>
          <w:iCs/>
          <w:color w:val="595959"/>
          <w:sz w:val="21"/>
          <w:szCs w:val="21"/>
        </w:rPr>
        <w:t xml:space="preserve">user task</w:t>
      </w:r>
      <w:r>
        <w:rPr>
          <w:sz w:val="21"/>
          <w:szCs w:val="21"/>
        </w:rPr>
        <w:t xml:space="preserve"> with an </w:t>
      </w:r>
      <w:r>
        <w:rPr>
          <w:i/>
          <w:iCs/>
          <w:color w:val="595959"/>
          <w:sz w:val="21"/>
          <w:szCs w:val="21"/>
        </w:rPr>
        <w:t xml:space="preserve">injection task</w:t>
      </w:r>
      <w:r>
        <w:rPr>
          <w:sz w:val="21"/>
          <w:szCs w:val="21"/>
        </w:rPr>
        <w:t xml:space="preserve"> (attacker goal). Its key contribution is measuring attacks with </w:t>
      </w:r>
      <w:r>
        <w:rPr>
          <w:b/>
          <w:bCs/>
          <w:sz w:val="21"/>
          <w:szCs w:val="21"/>
        </w:rPr>
        <w:t xml:space="preserve">formal, code-based utility/security checks</w:t>
      </w:r>
      <w:r>
        <w:rPr>
          <w:sz w:val="21"/>
          <w:szCs w:val="21"/>
        </w:rPr>
        <w:t xml:space="preserve"> against environment state, rather than relying on an LLM judge that the injection itself could fool.</w:t>
      </w:r>
    </w:p>
    <w:p>
      <w:pPr>
        <w:spacing w:after="140" w:line="276"/>
      </w:pPr>
      <w:r>
        <w:rPr>
          <w:b/>
          <w:bCs/>
          <w:sz w:val="21"/>
          <w:szCs w:val="21"/>
        </w:rPr>
        <w:t xml:space="preserve">Findings that shape Step 1: </w:t>
      </w:r>
      <w:r>
        <w:rPr>
          <w:sz w:val="21"/>
          <w:szCs w:val="21"/>
        </w:rPr>
        <w:t xml:space="preserve">more capable models were </w:t>
      </w:r>
      <w:r>
        <w:rPr>
          <w:i/>
          <w:iCs/>
          <w:color w:val="595959"/>
          <w:sz w:val="21"/>
          <w:szCs w:val="21"/>
        </w:rPr>
        <w:t xml:space="preserve">easier</w:t>
      </w:r>
      <w:r>
        <w:rPr>
          <w:sz w:val="21"/>
          <w:szCs w:val="21"/>
        </w:rPr>
        <w:t xml:space="preserve"> to attack (an inverse-scaling effect — attack success correlated with task-solving capability); injections placed at the </w:t>
      </w:r>
      <w:r>
        <w:rPr>
          <w:b/>
          <w:bCs/>
          <w:sz w:val="21"/>
          <w:szCs w:val="21"/>
        </w:rPr>
        <w:t xml:space="preserve">end</w:t>
      </w:r>
      <w:r>
        <w:rPr>
          <w:sz w:val="21"/>
          <w:szCs w:val="21"/>
        </w:rPr>
        <w:t xml:space="preserve"> of a tool's returned text succeeded up to 70% of the time vs. lower rates elsewhere; and among defenses tested, simple </w:t>
      </w:r>
      <w:r>
        <w:rPr>
          <w:b/>
          <w:bCs/>
          <w:sz w:val="21"/>
          <w:szCs w:val="21"/>
        </w:rPr>
        <w:t xml:space="preserve">tool filtering</w:t>
      </w:r>
      <w:r>
        <w:rPr>
          <w:sz w:val="21"/>
          <w:szCs w:val="21"/>
        </w:rPr>
        <w:t xml:space="preserve"> (restricting the agent to only the tools its stated task requires) was the strongest, cutting ASR to ~7.5%, but it fails whenever the tools needed for the legitimate task overlap with those needed for the attack (~17% of AgentDojo's own test cases).</w:t>
      </w:r>
    </w:p>
    <w:p>
      <w:pPr>
        <w:pStyle w:val="Heading2"/>
        <w:spacing w:after="80" w:before="200"/>
      </w:pPr>
      <w:r>
        <w:rPr>
          <w:b/>
          <w:bCs/>
          <w:color w:val="222222"/>
          <w:sz w:val="22"/>
          <w:szCs w:val="22"/>
        </w:rPr>
        <w:t xml:space="preserve">2.2 AgentHarm — direct-request compliance and jailbreak transfer</w:t>
      </w:r>
    </w:p>
    <w:p>
      <w:pPr>
        <w:spacing w:after="140" w:line="276"/>
      </w:pPr>
      <w:r>
        <w:rPr>
          <w:sz w:val="21"/>
          <w:szCs w:val="21"/>
        </w:rPr>
        <w:t xml:space="preserve">AgentHarm (Andriushchenko, Souly et al., ICLR 2025) targets a different threat model: not hidden injections in tool output, but a </w:t>
      </w:r>
      <w:r>
        <w:rPr>
          <w:i/>
          <w:iCs/>
          <w:color w:val="595959"/>
          <w:sz w:val="21"/>
          <w:szCs w:val="21"/>
        </w:rPr>
        <w:t xml:space="preserve">user</w:t>
      </w:r>
      <w:r>
        <w:rPr>
          <w:sz w:val="21"/>
          <w:szCs w:val="21"/>
        </w:rPr>
        <w:t xml:space="preserve"> directly asking the agent to do something harmful, with 440 tasks across 11 harm categories, each with a benign structural twin for capability control.</w:t>
      </w:r>
    </w:p>
    <w:p>
      <w:pPr>
        <w:spacing w:after="140" w:line="276"/>
      </w:pPr>
      <w:r>
        <w:rPr>
          <w:b/>
          <w:bCs/>
          <w:sz w:val="21"/>
          <w:szCs w:val="21"/>
        </w:rPr>
        <w:t xml:space="preserve">Findings that shape Step 3 (scoring): </w:t>
      </w:r>
      <w:r>
        <w:rPr>
          <w:sz w:val="21"/>
          <w:szCs w:val="21"/>
        </w:rPr>
        <w:t xml:space="preserve">many leading models complied with harmful multi-step agent tasks even </w:t>
      </w:r>
      <w:r>
        <w:rPr>
          <w:i/>
          <w:iCs/>
          <w:color w:val="595959"/>
          <w:sz w:val="21"/>
          <w:szCs w:val="21"/>
        </w:rPr>
        <w:t xml:space="preserve">without</w:t>
      </w:r>
      <w:r>
        <w:rPr>
          <w:sz w:val="21"/>
          <w:szCs w:val="21"/>
        </w:rPr>
        <w:t xml:space="preserve"> any jailbreak — refusal training does not fully transfer from chat to agentic settings. A single generic jailbreak template pushed harm scores up sharply across nearly every model, and — critically — </w:t>
      </w:r>
      <w:r>
        <w:rPr>
          <w:b/>
          <w:bCs/>
          <w:sz w:val="21"/>
          <w:szCs w:val="21"/>
        </w:rPr>
        <w:t xml:space="preserve">jailbroken agents did not lose task competence</w:t>
      </w:r>
      <w:r>
        <w:rPr>
          <w:sz w:val="21"/>
          <w:szCs w:val="21"/>
        </w:rPr>
        <w:t xml:space="preserve">: non-refusal harm scores nearly matched benign-task scores, disproving the assumption that jailbreaks necessarily degrade output quality. Grading combined hand-written, per-task pass/fail conditions (right function, right arguments, right order) with narrow LLM-judge calls only for isolated semantic checks — never a single LLM verdict over the whole transcript.</w:t>
      </w:r>
    </w:p>
    <w:p>
      <w:pPr>
        <w:pStyle w:val="Heading1"/>
        <w:spacing w:after="120" w:before="280"/>
      </w:pPr>
      <w:r>
        <w:rPr>
          <w:b/>
          <w:bCs/>
          <w:color w:val="1F4E5C"/>
          <w:sz w:val="26"/>
          <w:szCs w:val="26"/>
        </w:rPr>
        <w:t xml:space="preserve">3. Attack-Generation Methods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200"/>
      </w:tblGrid>
      <w:tr>
        <w:tc>
          <w:tcPr>
            <w:tcW w:type="dxa" w:w="2400"/>
            <w:shd w:fill="1F4E5C" w:color="auto" w:val="clear"/>
            <w:tcMar>
              <w:top w:type="dxa" w:w="80"/>
              <w:left w:type="dxa" w:w="100"/>
              <w:bottom w:type="dxa" w:w="80"/>
              <w:right w:type="dxa" w:w="100"/>
            </w:tcMar>
          </w:tcPr>
          <w:p>
            <w:r>
              <w:rPr>
                <w:b/>
                <w:bCs/>
                <w:color w:val="FFFFFF"/>
                <w:sz w:val="19"/>
                <w:szCs w:val="19"/>
              </w:rPr>
              <w:t xml:space="preserve">Method</w:t>
            </w:r>
          </w:p>
        </w:tc>
        <w:tc>
          <w:tcPr>
            <w:tcW w:type="dxa" w:w="3800"/>
            <w:shd w:fill="1F4E5C" w:color="auto" w:val="clear"/>
            <w:tcMar>
              <w:top w:type="dxa" w:w="80"/>
              <w:left w:type="dxa" w:w="100"/>
              <w:bottom w:type="dxa" w:w="80"/>
              <w:right w:type="dxa" w:w="100"/>
            </w:tcMar>
          </w:tcPr>
          <w:p>
            <w:r>
              <w:rPr>
                <w:b/>
                <w:bCs/>
                <w:color w:val="FFFFFF"/>
                <w:sz w:val="19"/>
                <w:szCs w:val="19"/>
              </w:rPr>
              <w:t xml:space="preserve">Mechanism</w:t>
            </w:r>
          </w:p>
        </w:tc>
        <w:tc>
          <w:tcPr>
            <w:tcW w:type="dxa" w:w="3200"/>
            <w:shd w:fill="1F4E5C" w:color="auto" w:val="clear"/>
            <w:tcMar>
              <w:top w:type="dxa" w:w="80"/>
              <w:left w:type="dxa" w:w="100"/>
              <w:bottom w:type="dxa" w:w="80"/>
              <w:right w:type="dxa" w:w="100"/>
            </w:tcMar>
          </w:tcPr>
          <w:p>
            <w:r>
              <w:rPr>
                <w:b/>
                <w:bCs/>
                <w:color w:val="FFFFFF"/>
                <w:sz w:val="19"/>
                <w:szCs w:val="19"/>
              </w:rPr>
              <w:t xml:space="preserve">Where it fits (Step 2)</w:t>
            </w:r>
          </w:p>
        </w:tc>
      </w:tr>
      <w:tr>
        <w:tc>
          <w:tcPr>
            <w:tcW w:type="dxa" w:w="2400"/>
            <w:tcMar>
              <w:top w:type="dxa" w:w="80"/>
              <w:left w:type="dxa" w:w="100"/>
              <w:bottom w:type="dxa" w:w="80"/>
              <w:right w:type="dxa" w:w="100"/>
            </w:tcMar>
          </w:tcPr>
          <w:p>
            <w:r>
              <w:rPr>
                <w:b w:val="false"/>
                <w:bCs w:val="false"/>
                <w:color w:val="222222"/>
                <w:sz w:val="19"/>
                <w:szCs w:val="19"/>
              </w:rPr>
              <w:t xml:space="preserve">PAIR</w:t>
            </w:r>
          </w:p>
        </w:tc>
        <w:tc>
          <w:tcPr>
            <w:tcW w:type="dxa" w:w="3800"/>
            <w:tcMar>
              <w:top w:type="dxa" w:w="80"/>
              <w:left w:type="dxa" w:w="100"/>
              <w:bottom w:type="dxa" w:w="80"/>
              <w:right w:type="dxa" w:w="100"/>
            </w:tcMar>
          </w:tcPr>
          <w:p>
            <w:r>
              <w:rPr>
                <w:b w:val="false"/>
                <w:bCs w:val="false"/>
                <w:color w:val="222222"/>
                <w:sz w:val="19"/>
                <w:szCs w:val="19"/>
              </w:rPr>
              <w:t xml:space="preserve">Attacker-LLM iteratively refines one candidate prompt against the target's responses, linear chain.</w:t>
            </w:r>
          </w:p>
        </w:tc>
        <w:tc>
          <w:tcPr>
            <w:tcW w:type="dxa" w:w="3200"/>
            <w:tcMar>
              <w:top w:type="dxa" w:w="80"/>
              <w:left w:type="dxa" w:w="100"/>
              <w:bottom w:type="dxa" w:w="80"/>
              <w:right w:type="dxa" w:w="100"/>
            </w:tcMar>
          </w:tcPr>
          <w:p>
            <w:r>
              <w:rPr>
                <w:b w:val="false"/>
                <w:bCs w:val="false"/>
                <w:color w:val="222222"/>
                <w:sz w:val="19"/>
                <w:szCs w:val="19"/>
              </w:rPr>
              <w:t xml:space="preserve">Simple baseline attacker; good first milestone.</w:t>
            </w:r>
          </w:p>
        </w:tc>
      </w:tr>
      <w:tr>
        <w:tc>
          <w:tcPr>
            <w:tcW w:type="dxa" w:w="2400"/>
            <w:tcMar>
              <w:top w:type="dxa" w:w="80"/>
              <w:left w:type="dxa" w:w="100"/>
              <w:bottom w:type="dxa" w:w="80"/>
              <w:right w:type="dxa" w:w="100"/>
            </w:tcMar>
          </w:tcPr>
          <w:p>
            <w:r>
              <w:rPr>
                <w:b w:val="false"/>
                <w:bCs w:val="false"/>
                <w:color w:val="222222"/>
                <w:sz w:val="19"/>
                <w:szCs w:val="19"/>
              </w:rPr>
              <w:t xml:space="preserve">TAP</w:t>
            </w:r>
          </w:p>
        </w:tc>
        <w:tc>
          <w:tcPr>
            <w:tcW w:type="dxa" w:w="3800"/>
            <w:tcMar>
              <w:top w:type="dxa" w:w="80"/>
              <w:left w:type="dxa" w:w="100"/>
              <w:bottom w:type="dxa" w:w="80"/>
              <w:right w:type="dxa" w:w="100"/>
            </w:tcMar>
          </w:tcPr>
          <w:p>
            <w:r>
              <w:rPr>
                <w:b w:val="false"/>
                <w:bCs w:val="false"/>
                <w:color w:val="222222"/>
                <w:sz w:val="19"/>
                <w:szCs w:val="19"/>
              </w:rPr>
              <w:t xml:space="preserve">Same idea as PAIR but branches into a tree of candidates; prunes off-topic branches before querying the target and low-scoring branches after, for query efficiency.</w:t>
            </w:r>
          </w:p>
        </w:tc>
        <w:tc>
          <w:tcPr>
            <w:tcW w:type="dxa" w:w="3200"/>
            <w:tcMar>
              <w:top w:type="dxa" w:w="80"/>
              <w:left w:type="dxa" w:w="100"/>
              <w:bottom w:type="dxa" w:w="80"/>
              <w:right w:type="dxa" w:w="100"/>
            </w:tcMar>
          </w:tcPr>
          <w:p>
            <w:r>
              <w:rPr>
                <w:b w:val="false"/>
                <w:bCs w:val="false"/>
                <w:color w:val="222222"/>
                <w:sz w:val="19"/>
                <w:szCs w:val="19"/>
              </w:rPr>
              <w:t xml:space="preserve">Primary attacker-LLM architecture: propose → branch → prune-before-send → send → score → prune-after-response.</w:t>
            </w:r>
          </w:p>
        </w:tc>
      </w:tr>
      <w:tr>
        <w:tc>
          <w:tcPr>
            <w:tcW w:type="dxa" w:w="2400"/>
            <w:tcMar>
              <w:top w:type="dxa" w:w="80"/>
              <w:left w:type="dxa" w:w="100"/>
              <w:bottom w:type="dxa" w:w="80"/>
              <w:right w:type="dxa" w:w="100"/>
            </w:tcMar>
          </w:tcPr>
          <w:p>
            <w:r>
              <w:rPr>
                <w:b w:val="false"/>
                <w:bCs w:val="false"/>
                <w:color w:val="222222"/>
                <w:sz w:val="19"/>
                <w:szCs w:val="19"/>
              </w:rPr>
              <w:t xml:space="preserve">GCG</w:t>
            </w:r>
          </w:p>
        </w:tc>
        <w:tc>
          <w:tcPr>
            <w:tcW w:type="dxa" w:w="3800"/>
            <w:tcMar>
              <w:top w:type="dxa" w:w="80"/>
              <w:left w:type="dxa" w:w="100"/>
              <w:bottom w:type="dxa" w:w="80"/>
              <w:right w:type="dxa" w:w="100"/>
            </w:tcMar>
          </w:tcPr>
          <w:p>
            <w:r>
              <w:rPr>
                <w:b w:val="false"/>
                <w:bCs w:val="false"/>
                <w:color w:val="222222"/>
                <w:sz w:val="19"/>
                <w:szCs w:val="19"/>
              </w:rPr>
              <w:t xml:space="preserve">White-box, gradient-based optimization of an adversarial token suffix/prefix; effective but often produces high-perplexity gibberish, easy to catch with perplexity filters.</w:t>
            </w:r>
          </w:p>
        </w:tc>
        <w:tc>
          <w:tcPr>
            <w:tcW w:type="dxa" w:w="3200"/>
            <w:tcMar>
              <w:top w:type="dxa" w:w="80"/>
              <w:left w:type="dxa" w:w="100"/>
              <w:bottom w:type="dxa" w:w="80"/>
              <w:right w:type="dxa" w:w="100"/>
            </w:tcMar>
          </w:tcPr>
          <w:p>
            <w:r>
              <w:rPr>
                <w:b w:val="false"/>
                <w:bCs w:val="false"/>
                <w:color w:val="222222"/>
                <w:sz w:val="19"/>
                <w:szCs w:val="19"/>
              </w:rPr>
              <w:t xml:space="preserve">Reference point only — requires model-weight access the harness's black-box victim agent won't expose.</w:t>
            </w:r>
          </w:p>
        </w:tc>
      </w:tr>
      <w:tr>
        <w:tc>
          <w:tcPr>
            <w:tcW w:type="dxa" w:w="2400"/>
            <w:tcMar>
              <w:top w:type="dxa" w:w="80"/>
              <w:left w:type="dxa" w:w="100"/>
              <w:bottom w:type="dxa" w:w="80"/>
              <w:right w:type="dxa" w:w="100"/>
            </w:tcMar>
          </w:tcPr>
          <w:p>
            <w:r>
              <w:rPr>
                <w:b w:val="false"/>
                <w:bCs w:val="false"/>
                <w:color w:val="222222"/>
                <w:sz w:val="19"/>
                <w:szCs w:val="19"/>
              </w:rPr>
              <w:t xml:space="preserve">AutoDAN</w:t>
            </w:r>
          </w:p>
        </w:tc>
        <w:tc>
          <w:tcPr>
            <w:tcW w:type="dxa" w:w="3800"/>
            <w:tcMar>
              <w:top w:type="dxa" w:w="80"/>
              <w:left w:type="dxa" w:w="100"/>
              <w:bottom w:type="dxa" w:w="80"/>
              <w:right w:type="dxa" w:w="100"/>
            </w:tcMar>
          </w:tcPr>
          <w:p>
            <w:r>
              <w:rPr>
                <w:b w:val="false"/>
                <w:bCs w:val="false"/>
                <w:color w:val="222222"/>
                <w:sz w:val="19"/>
                <w:szCs w:val="19"/>
              </w:rPr>
              <w:t xml:space="preserve">Genetic/evolutionary search over semantically coherent adversarial strings (left-to-right token selection); survives perplexity filtering because outputs read as natural text.</w:t>
            </w:r>
          </w:p>
        </w:tc>
        <w:tc>
          <w:tcPr>
            <w:tcW w:type="dxa" w:w="3200"/>
            <w:tcMar>
              <w:top w:type="dxa" w:w="80"/>
              <w:left w:type="dxa" w:w="100"/>
              <w:bottom w:type="dxa" w:w="80"/>
              <w:right w:type="dxa" w:w="100"/>
            </w:tcMar>
          </w:tcPr>
          <w:p>
            <w:r>
              <w:rPr>
                <w:b w:val="false"/>
                <w:bCs w:val="false"/>
                <w:color w:val="222222"/>
                <w:sz w:val="19"/>
                <w:szCs w:val="19"/>
              </w:rPr>
              <w:t xml:space="preserve">Mutation engine (Step 2, second half) — evolves successful injections found by the attacker-LLM.</w:t>
            </w:r>
          </w:p>
        </w:tc>
      </w:tr>
    </w:tbl>
    <w:p>
      <w:pPr>
        <w:spacing w:after="60"/>
      </w:pPr>
      <w:r>
        <w:rPr>
          <w:sz w:val="21"/>
          <w:szCs w:val="21"/>
        </w:rPr>
        <w:t xml:space="preserve"/>
      </w:r>
    </w:p>
    <w:p>
      <w:pPr>
        <w:spacing w:after="140" w:line="276"/>
      </w:pPr>
      <w:r>
        <w:rPr>
          <w:sz w:val="21"/>
          <w:szCs w:val="21"/>
        </w:rPr>
        <w:t xml:space="preserve">TAP (Mehrotra et al., 2023) is the load-bearing design choice for Step 2: it is fully black-box (prompt in, response out — matching how the victim agent will actually be queried) and its two-stage pruning (off-topic before sending, low-score after receiving) directly controls API cost, which matters once the harness is run against a real victim agent at scale. AutoDAN complements it by generating </w:t>
      </w:r>
      <w:r>
        <w:rPr>
          <w:i/>
          <w:iCs/>
          <w:color w:val="595959"/>
          <w:sz w:val="21"/>
          <w:szCs w:val="21"/>
        </w:rPr>
        <w:t xml:space="preserve">diverse</w:t>
      </w:r>
      <w:r>
        <w:rPr>
          <w:sz w:val="21"/>
          <w:szCs w:val="21"/>
        </w:rPr>
        <w:t xml:space="preserve"> mutated variants rather than only refining one lineage — useful for maximizing OWASP/ATLAS taxonomy coverage per the dataset-building brief (Section 5.2), not just raw success against one target.</w:t>
      </w:r>
    </w:p>
    <w:p>
      <w:pPr>
        <w:pStyle w:val="Heading1"/>
        <w:spacing w:after="120" w:before="280"/>
      </w:pPr>
      <w:r>
        <w:rPr>
          <w:b/>
          <w:bCs/>
          <w:color w:val="1F4E5C"/>
          <w:sz w:val="26"/>
          <w:szCs w:val="26"/>
        </w:rPr>
        <w:t xml:space="preserve">4. The Defense Reality Check</w:t>
      </w:r>
    </w:p>
    <w:p>
      <w:pPr>
        <w:spacing w:after="140" w:line="276"/>
      </w:pPr>
      <w:r>
        <w:rPr>
          <w:sz w:val="21"/>
          <w:szCs w:val="21"/>
        </w:rPr>
        <w:t xml:space="preserve">Zhan, Fang et al. (2025) evaluated eight IPI defenses — three detection-based, four input-level, one model-level (see below) — and broke </w:t>
      </w:r>
      <w:r>
        <w:rPr>
          <w:b/>
          <w:bCs/>
          <w:sz w:val="21"/>
          <w:szCs w:val="21"/>
        </w:rPr>
        <w:t xml:space="preserve">all eight</w:t>
      </w:r>
      <w:r>
        <w:rPr>
          <w:sz w:val="21"/>
          <w:szCs w:val="21"/>
        </w:rPr>
        <w:t xml:space="preserve"> with adaptive attacks, achieving over 50% ASR in every case, consistently exceeding the undefended baseline ASR. This is the single most important constraint on Step 4 of the project: a defense's ASR against a </w:t>
      </w:r>
      <w:r>
        <w:rPr>
          <w:i/>
          <w:iCs/>
          <w:color w:val="595959"/>
          <w:sz w:val="21"/>
          <w:szCs w:val="21"/>
        </w:rPr>
        <w:t xml:space="preserve">generic</w:t>
      </w:r>
      <w:r>
        <w:rPr>
          <w:sz w:val="21"/>
          <w:szCs w:val="21"/>
        </w:rPr>
        <w:t xml:space="preserve"> attacker is close to meaningless. A credible residual-risk number requires an attacker built </w:t>
      </w:r>
      <w:r>
        <w:rPr>
          <w:i/>
          <w:iCs/>
          <w:color w:val="595959"/>
          <w:sz w:val="21"/>
          <w:szCs w:val="21"/>
        </w:rPr>
        <w:t xml:space="preserve">with knowledge of the specific defense</w:t>
      </w:r>
      <w:r>
        <w:rPr>
          <w:sz w:val="21"/>
          <w:szCs w:val="21"/>
        </w:rPr>
        <w:t xml:space="preserve">, targeting it directly.</w:t>
      </w:r>
    </w:p>
    <w:p>
      <w:pPr>
        <w:pStyle w:val="ListParagraph"/>
        <w:numPr>
          <w:ilvl w:val="0"/>
          <w:numId w:val="2"/>
        </w:numPr>
        <w:spacing w:after="60" w:line="270"/>
      </w:pPr>
      <w:r>
        <w:rPr>
          <w:b/>
          <w:bCs/>
          <w:sz w:val="21"/>
          <w:szCs w:val="21"/>
        </w:rPr>
        <w:t xml:space="preserve">Detection-based</w:t>
      </w:r>
      <w:r>
        <w:rPr>
          <w:sz w:val="21"/>
          <w:szCs w:val="21"/>
        </w:rPr>
        <w:t xml:space="preserve"> (fine-tuned classifier, LLM-as-judge, perplexity filtering): broken with a </w:t>
      </w:r>
    </w:p>
    <w:p>
      <w:pPr>
        <w:pStyle w:val="ListParagraph"/>
        <w:numPr>
          <w:ilvl w:val="1"/>
          <w:numId w:val="2"/>
        </w:numPr>
        <w:spacing w:after="60" w:line="270"/>
      </w:pPr>
      <w:r>
        <w:rPr>
          <w:sz w:val="21"/>
          <w:szCs w:val="21"/>
        </w:rPr>
        <w:t xml:space="preserve">Multi-objective GCG — one loss term for task hijack, one for evading the detector simultaneously. Detection rates on adversarial strings dropped to near zero.</w:t>
      </w:r>
    </w:p>
    <w:p>
      <w:pPr>
        <w:pStyle w:val="ListParagraph"/>
        <w:numPr>
          <w:ilvl w:val="0"/>
          <w:numId w:val="2"/>
        </w:numPr>
        <w:spacing w:after="60" w:line="270"/>
      </w:pPr>
      <w:r>
        <w:rPr>
          <w:b/>
          <w:bCs/>
          <w:sz w:val="21"/>
          <w:szCs w:val="21"/>
        </w:rPr>
        <w:t xml:space="preserve">Input-level</w:t>
      </w:r>
      <w:r>
        <w:rPr>
          <w:sz w:val="21"/>
          <w:szCs w:val="21"/>
        </w:rPr>
        <w:t xml:space="preserve"> (instructional warnings, delimiters, sandwich prompting, paraphrasing): mostly weak protection even non-adaptively; paraphrasing specifically was beaten with a two-stage adversarial string designed to survive being paraphrased and reconstitute the attack.</w:t>
      </w:r>
    </w:p>
    <w:p>
      <w:pPr>
        <w:pStyle w:val="ListParagraph"/>
        <w:numPr>
          <w:ilvl w:val="0"/>
          <w:numId w:val="2"/>
        </w:numPr>
        <w:spacing w:after="60" w:line="270"/>
      </w:pPr>
      <w:r>
        <w:rPr>
          <w:b/>
          <w:bCs/>
          <w:sz w:val="21"/>
          <w:szCs w:val="21"/>
        </w:rPr>
        <w:t xml:space="preserve">Model-level</w:t>
      </w:r>
      <w:r>
        <w:rPr>
          <w:sz w:val="21"/>
          <w:szCs w:val="21"/>
        </w:rPr>
        <w:t xml:space="preserve"> (adversarial fine-tuning): the strongest single defense (ASR down to ~12% on the Vicuna-based agent) but still fell to 65–69% under adaptive attack.</w:t>
      </w:r>
    </w:p>
    <w:p>
      <w:pPr>
        <w:spacing w:after="140" w:line="276"/>
      </w:pPr>
      <w:r>
        <w:rPr>
          <w:b/>
          <w:bCs/>
          <w:sz w:val="21"/>
          <w:szCs w:val="21"/>
        </w:rPr>
        <w:t xml:space="preserve">Caveats worth carrying into Step 4: </w:t>
      </w:r>
      <w:r>
        <w:rPr>
          <w:sz w:val="21"/>
          <w:szCs w:val="21"/>
        </w:rPr>
        <w:t xml:space="preserve">their attacks assumed white-box access to the model and defense internals — a stronger assumption than a realistic external attacker typically has, and worth flagging explicitly rather than implying black-box equivalence. Adversarial strings also only reliably steered the agent's </w:t>
      </w:r>
      <w:r>
        <w:rPr>
          <w:i/>
          <w:iCs/>
          <w:color w:val="595959"/>
          <w:sz w:val="21"/>
          <w:szCs w:val="21"/>
        </w:rPr>
        <w:t xml:space="preserve">first</w:t>
      </w:r>
      <w:r>
        <w:rPr>
          <w:sz w:val="21"/>
          <w:szCs w:val="21"/>
        </w:rPr>
        <w:t xml:space="preserve"> action; multi-step attack chains (e.g., their two-stage data-exfiltration task) saw much smaller gains from adaptation — a limitation to reproduce and report on rather than paper over.</w:t>
      </w:r>
    </w:p>
    <w:p>
      <w:pPr>
        <w:pStyle w:val="Heading1"/>
        <w:spacing w:after="120" w:before="280"/>
      </w:pPr>
      <w:r>
        <w:rPr>
          <w:b/>
          <w:bCs/>
          <w:color w:val="1F4E5C"/>
          <w:sz w:val="26"/>
          <w:szCs w:val="26"/>
        </w:rPr>
        <w:t xml:space="preserve">5. Taxonomy</w:t>
      </w:r>
    </w:p>
    <w:p>
      <w:pPr>
        <w:spacing w:after="140" w:line="276"/>
      </w:pPr>
      <w:r>
        <w:rPr>
          <w:b/>
          <w:bCs/>
          <w:sz w:val="21"/>
          <w:szCs w:val="21"/>
        </w:rPr>
        <w:t xml:space="preserve">OWASP LLM Top 10 (2025): </w:t>
      </w:r>
      <w:r>
        <w:rPr>
          <w:sz w:val="21"/>
          <w:szCs w:val="21"/>
        </w:rPr>
        <w:t xml:space="preserve">prompt injection remains </w:t>
      </w:r>
      <w:r>
        <w:rPr>
          <w:b/>
          <w:bCs/>
          <w:sz w:val="21"/>
          <w:szCs w:val="21"/>
        </w:rPr>
        <w:t xml:space="preserve">LLM01</w:t>
      </w:r>
      <w:r>
        <w:rPr>
          <w:sz w:val="21"/>
          <w:szCs w:val="21"/>
        </w:rPr>
        <w:t xml:space="preserve">, still ranked #1. Full list: LLM01 Prompt Injection, LLM02 Sensitive Information Disclosure, LLM03 Supply Chain, LLM04 Data/Model Poisoning, LLM05 Improper Output Handling, LLM06 Excessive Agency, LLM07 System Prompt Leakage, LLM08 Vector/Embedding Weaknesses, LLM09 Misinformation, LLM10 Unbounded Consumption (this last one now folds in runaway-cost/resource-exhaustion risk, not just classic denial-of-service). OWASP separately published a </w:t>
      </w:r>
      <w:r>
        <w:rPr>
          <w:b/>
          <w:bCs/>
          <w:sz w:val="21"/>
          <w:szCs w:val="21"/>
        </w:rPr>
        <w:t xml:space="preserve">Top 10 for Agentic Applications</w:t>
      </w:r>
      <w:r>
        <w:rPr>
          <w:sz w:val="21"/>
          <w:szCs w:val="21"/>
        </w:rPr>
        <w:t xml:space="preserve"> (late 2025) covering agent-specific risk — goal hijacking, tool/API misuse, multi-agent coordination abuse — which is arguably the more precise taxonomy for this harness's victim agent than the general LLM list, and should be mapped alongside it rather than instead of it. MITRE ATLAS remains the complementary framework for tactic/technique-level classification (reconnaissance, initial access, execution, exfiltration) mirroring MITRE ATT&amp;CK's structure for traditional systems.</w:t>
      </w:r>
    </w:p>
    <w:p>
      <w:pPr>
        <w:spacing w:after="140" w:line="276"/>
      </w:pPr>
      <w:r>
        <w:rPr>
          <w:b/>
          <w:bCs/>
          <w:sz w:val="21"/>
          <w:szCs w:val="21"/>
        </w:rPr>
        <w:t xml:space="preserve">JailbreakBench: </w:t>
      </w:r>
      <w:r>
        <w:rPr>
          <w:sz w:val="21"/>
          <w:szCs w:val="21"/>
        </w:rPr>
        <w:t xml:space="preserve">an open, standardized leaderboard (200 behaviors, NeurIPS 2024) built specifically to stop attack/defense papers from each computing ASR differently. It ships pre-generated jailbreak strings from PAIR, GCG, and other methods as reusable "artifacts." Its scope is single-turn chat jailbreaks, not agentic tool-use — so it is a </w:t>
      </w:r>
      <w:r>
        <w:rPr>
          <w:b/>
          <w:bCs/>
          <w:sz w:val="21"/>
          <w:szCs w:val="21"/>
        </w:rPr>
        <w:t xml:space="preserve">seed source for the attack corpus</w:t>
      </w:r>
      <w:r>
        <w:rPr>
          <w:sz w:val="21"/>
          <w:szCs w:val="21"/>
        </w:rPr>
        <w:t xml:space="preserve"> (Section 5.2 of the project brief) rather than a benchmark this harness runs against directly; AgentDojo and AgentHarm remain the agent-specific targets.</w:t>
      </w:r>
    </w:p>
    <w:p>
      <w:pPr>
        <w:pStyle w:val="Heading1"/>
        <w:spacing w:after="120" w:before="280"/>
      </w:pPr>
      <w:r>
        <w:rPr>
          <w:b/>
          <w:bCs/>
          <w:color w:val="1F4E5C"/>
          <w:sz w:val="26"/>
          <w:szCs w:val="26"/>
        </w:rPr>
        <w:t xml:space="preserve">6. Tooling Landscape</w:t>
      </w:r>
    </w:p>
    <w:p>
      <w:pPr>
        <w:spacing w:after="140" w:line="276"/>
      </w:pPr>
      <w:r>
        <w:rPr>
          <w:sz w:val="21"/>
          <w:szCs w:val="21"/>
        </w:rPr>
        <w:t xml:space="preserve">Per the mandated stack, orchestration tools sit around the attack/defense logic rather than replacing it.</w:t>
      </w:r>
    </w:p>
    <w:p>
      <w:pPr>
        <w:pStyle w:val="Heading2"/>
        <w:spacing w:after="80" w:before="200"/>
      </w:pPr>
      <w:r>
        <w:rPr>
          <w:b/>
          <w:bCs/>
          <w:color w:val="222222"/>
          <w:sz w:val="22"/>
          <w:szCs w:val="22"/>
        </w:rPr>
        <w:t xml:space="preserve">6.1 Attack orchestration: Garak and PyRIT</w:t>
      </w:r>
    </w:p>
    <w:p>
      <w:pPr>
        <w:spacing w:after="140" w:line="276"/>
      </w:pPr>
      <w:r>
        <w:rPr>
          <w:b/>
          <w:bCs/>
          <w:sz w:val="21"/>
          <w:szCs w:val="21"/>
        </w:rPr>
        <w:t xml:space="preserve">NVIDIA Garak</w:t>
      </w:r>
      <w:r>
        <w:rPr>
          <w:sz w:val="21"/>
          <w:szCs w:val="21"/>
        </w:rPr>
        <w:t xml:space="preserve"> is a CLI vulnerability scanner (the project brief's own comparison to nmap is accurate) — point it at a target, select probe modules from its library of 150+ attack types (jailbreaks, encoding tricks, injection, toxicity, data leakage), and it generates adversarial prompts, collects responses, and scores them via pluggable detectors. Its breadth of pre-built probes makes it a fast way to get baseline coverage numbers before the custom attacker-LLM is built.</w:t>
      </w:r>
    </w:p>
    <w:p>
      <w:pPr>
        <w:spacing w:after="140" w:line="276"/>
      </w:pPr>
      <w:r>
        <w:rPr>
          <w:b/>
          <w:bCs/>
          <w:sz w:val="21"/>
          <w:szCs w:val="21"/>
        </w:rPr>
        <w:t xml:space="preserve">Microsoft PyRIT</w:t>
      </w:r>
      <w:r>
        <w:rPr>
          <w:sz w:val="21"/>
          <w:szCs w:val="21"/>
        </w:rPr>
        <w:t xml:space="preserve"> occupies similar territory but is oriented around </w:t>
      </w:r>
      <w:r>
        <w:rPr>
          <w:b/>
          <w:bCs/>
          <w:sz w:val="21"/>
          <w:szCs w:val="21"/>
        </w:rPr>
        <w:t xml:space="preserve">multi-turn orchestration</w:t>
      </w:r>
      <w:r>
        <w:rPr>
          <w:sz w:val="21"/>
          <w:szCs w:val="21"/>
        </w:rPr>
        <w:t xml:space="preserve"> specifically — it ships </w:t>
      </w:r>
      <w:r>
        <w:rPr>
          <w:i/>
          <w:iCs/>
          <w:color w:val="595959"/>
          <w:sz w:val="21"/>
          <w:szCs w:val="21"/>
        </w:rPr>
        <w:t xml:space="preserve">Crescendo, TAP, and Skeleton Key</w:t>
      </w:r>
      <w:r>
        <w:rPr>
          <w:sz w:val="21"/>
          <w:szCs w:val="21"/>
        </w:rPr>
        <w:t xml:space="preserve"> as built-in attack strategies, plus a persistent memory layer (SQLite/Azure SQL) tracking conversations and scores across a run. The practical implication: PyRIT already implements a working TAP strategy, so Step 2's attacker-LLM can be built by </w:t>
      </w:r>
      <w:r>
        <w:rPr>
          <w:i/>
          <w:iCs/>
          <w:color w:val="595959"/>
          <w:sz w:val="21"/>
          <w:szCs w:val="21"/>
        </w:rPr>
        <w:t xml:space="preserve">configuring PyRIT's TAP orchestrator against the custom victim agent</w:t>
      </w:r>
      <w:r>
        <w:rPr>
          <w:sz w:val="21"/>
          <w:szCs w:val="21"/>
        </w:rPr>
        <w:t xml:space="preserve"> rather than re-implementing the branching/pruning logic from Mehrotra et al. from scratch — reserve the custom-build effort for the AutoDAN-style mutation engine, which is not a built-in PyRIT strategy.</w:t>
      </w:r>
    </w:p>
    <w:p>
      <w:pPr>
        <w:pStyle w:val="Heading2"/>
        <w:spacing w:after="80" w:before="200"/>
      </w:pPr>
      <w:r>
        <w:rPr>
          <w:b/>
          <w:bCs/>
          <w:color w:val="222222"/>
          <w:sz w:val="22"/>
          <w:szCs w:val="22"/>
        </w:rPr>
        <w:t xml:space="preserve">6.2 Defense candidates: LlamaFirewall / PromptGuard 2 and CaMeL</w:t>
      </w:r>
    </w:p>
    <w:p>
      <w:pPr>
        <w:spacing w:after="140" w:line="276"/>
      </w:pPr>
      <w:r>
        <w:rPr>
          <w:b/>
          <w:bCs/>
          <w:sz w:val="21"/>
          <w:szCs w:val="21"/>
        </w:rPr>
        <w:t xml:space="preserve">PromptGuard 2</w:t>
      </w:r>
      <w:r>
        <w:rPr>
          <w:sz w:val="21"/>
          <w:szCs w:val="21"/>
        </w:rPr>
        <w:t xml:space="preserve"> is a small fine-tuned DeBERTa-based classifier that scores whether input text is a direct or indirect jailbreak attempt — fast and low-latency by design. </w:t>
      </w:r>
      <w:r>
        <w:rPr>
          <w:b/>
          <w:bCs/>
          <w:sz w:val="21"/>
          <w:szCs w:val="21"/>
        </w:rPr>
        <w:t xml:space="preserve">LlamaFirewall</w:t>
      </w:r>
      <w:r>
        <w:rPr>
          <w:sz w:val="21"/>
          <w:szCs w:val="21"/>
        </w:rPr>
        <w:t xml:space="preserve"> wraps it together with </w:t>
      </w:r>
      <w:r>
        <w:rPr>
          <w:b/>
          <w:bCs/>
          <w:sz w:val="21"/>
          <w:szCs w:val="21"/>
        </w:rPr>
        <w:t xml:space="preserve">AlignmentCheck</w:t>
      </w:r>
      <w:r>
        <w:rPr>
          <w:sz w:val="21"/>
          <w:szCs w:val="21"/>
        </w:rPr>
        <w:t xml:space="preserve"> (a chain-of-thought auditor that inspects the agent's own reasoning for goal hijacking, not just its input/output text) and CodeShield (static analysis on generated code) into a layered scanner pipeline. This is a realistic, currently-deployed Step 4 candidate — and notably, independent red-teamers have already published partial bypasses against it in production, which is consistent with Section 4's finding that no single defense family holds up adaptively; it makes a good target precisely because breaking it is a credible, citable result rather than a strawman.</w:t>
      </w:r>
    </w:p>
    <w:p>
      <w:pPr>
        <w:spacing w:after="140" w:line="276"/>
      </w:pPr>
      <w:r>
        <w:rPr>
          <w:b/>
          <w:bCs/>
          <w:sz w:val="21"/>
          <w:szCs w:val="21"/>
        </w:rPr>
        <w:t xml:space="preserve">CaMeL</w:t>
      </w:r>
      <w:r>
        <w:rPr>
          <w:sz w:val="21"/>
          <w:szCs w:val="21"/>
        </w:rPr>
        <w:t xml:space="preserve"> (Google DeepMind, 2025) is architecturally distinct from every other defense reviewed in this note: it is not a classifier bolted onto the model, but a </w:t>
      </w:r>
      <w:r>
        <w:rPr>
          <w:b/>
          <w:bCs/>
          <w:sz w:val="21"/>
          <w:szCs w:val="21"/>
        </w:rPr>
        <w:t xml:space="preserve">capability-based system redesign</w:t>
      </w:r>
      <w:r>
        <w:rPr>
          <w:sz w:val="21"/>
          <w:szCs w:val="21"/>
        </w:rPr>
        <w:t xml:space="preserve"> built on Simon Willison's earlier Dual-LLM pattern (a privileged LLM that plans but never sees untrusted data, plus a quarantined LLM that processes untrusted data but holds no tool access). CaMeL adds a custom interpreter that tracks data provenance/capabilities on every value, so untrusted content can structurally never influence control flow — the paper reports solving 67% of AgentDojo's security test cases with what it frames as a </w:t>
      </w:r>
      <w:r>
        <w:rPr>
          <w:i/>
          <w:iCs/>
          <w:color w:val="595959"/>
          <w:sz w:val="21"/>
          <w:szCs w:val="21"/>
        </w:rPr>
        <w:t xml:space="preserve">provable</w:t>
      </w:r>
      <w:r>
        <w:rPr>
          <w:sz w:val="21"/>
          <w:szCs w:val="21"/>
        </w:rPr>
        <w:t xml:space="preserve"> guarantee, not just an empirically lower ASR, which is a categorically different and stronger claim than anything in Section 4's eight defenses. It is also the heaviest lift to implement well within an 8-week timeline, since it requires building the capability-tracking interpreter rather than wiring up an existing classifier.</w:t>
      </w:r>
    </w:p>
    <w:p>
      <w:pPr>
        <w:spacing w:after="140" w:line="276"/>
      </w:pPr>
      <w:r>
        <w:rPr>
          <w:b/>
          <w:bCs/>
          <w:sz w:val="21"/>
          <w:szCs w:val="21"/>
        </w:rPr>
        <w:t xml:space="preserve">Recommendation for Step 4: </w:t>
      </w:r>
      <w:r>
        <w:rPr>
          <w:sz w:val="21"/>
          <w:szCs w:val="21"/>
        </w:rPr>
        <w:t xml:space="preserve">PromptGuard 2 / LlamaFirewall is the pragmatic choice given the timeline — a real, currently-deployed classifier-based defense with known partial bypasses to reproduce and extend adaptively. CaMeL is the more interesting choice if timeline allows a stretch goal (the brief's Section 10 explicitly names CaMeL-style layers as a stretch), since its provable-guarantee framing is a genuinely different claim to stress-test than the detection-based defenses this project's own primary literature already broke.</w:t>
      </w:r>
    </w:p>
    <w:p>
      <w:pPr>
        <w:pStyle w:val="Heading1"/>
        <w:spacing w:after="120" w:before="280"/>
      </w:pPr>
      <w:r>
        <w:rPr>
          <w:b/>
          <w:bCs/>
          <w:color w:val="1F4E5C"/>
          <w:sz w:val="26"/>
          <w:szCs w:val="26"/>
        </w:rPr>
        <w:t xml:space="preserve">7. Implications for This Project's Design</w:t>
      </w:r>
    </w:p>
    <w:p>
      <w:pPr>
        <w:pStyle w:val="ListParagraph"/>
        <w:numPr>
          <w:ilvl w:val="0"/>
          <w:numId w:val="2"/>
        </w:numPr>
        <w:spacing w:after="60" w:line="270"/>
      </w:pPr>
      <w:r>
        <w:rPr>
          <w:b/>
          <w:bCs/>
          <w:sz w:val="21"/>
          <w:szCs w:val="21"/>
        </w:rPr>
        <w:t xml:space="preserve">Step 1 (victim agent): </w:t>
      </w:r>
      <w:r>
        <w:rPr>
          <w:sz w:val="21"/>
          <w:szCs w:val="21"/>
        </w:rPr>
        <w:t xml:space="preserve">reuse AgentDojo's task/tool/environment structure directly rather than rebuilding it; place tripwires with awareness that end-of-context injections are the highest-risk position to detect.</w:t>
      </w:r>
    </w:p>
    <w:p>
      <w:pPr>
        <w:pStyle w:val="ListParagraph"/>
        <w:numPr>
          <w:ilvl w:val="0"/>
          <w:numId w:val="2"/>
        </w:numPr>
        <w:spacing w:after="60" w:line="270"/>
      </w:pPr>
      <w:r>
        <w:rPr>
          <w:b/>
          <w:bCs/>
          <w:sz w:val="21"/>
          <w:szCs w:val="21"/>
        </w:rPr>
        <w:t xml:space="preserve">Step 2 (attacker + mutation): </w:t>
      </w:r>
      <w:r>
        <w:rPr>
          <w:sz w:val="21"/>
          <w:szCs w:val="21"/>
        </w:rPr>
        <w:t xml:space="preserve">configure PyRIT's built-in TAP orchestrator against the victim agent rather than re-implementing branching/pruning from scratch; layer AutoDAN-style genetic mutation on top for diversity/coverage, chosen over GCG because GCG's white-box requirement doesn't match this harness's black-box threat model and its gibberish output is trivially caught by perplexity filtering.</w:t>
      </w:r>
    </w:p>
    <w:p>
      <w:pPr>
        <w:pStyle w:val="ListParagraph"/>
        <w:numPr>
          <w:ilvl w:val="0"/>
          <w:numId w:val="2"/>
        </w:numPr>
        <w:spacing w:after="60" w:line="270"/>
      </w:pPr>
      <w:r>
        <w:rPr>
          <w:b/>
          <w:bCs/>
          <w:sz w:val="21"/>
          <w:szCs w:val="21"/>
        </w:rPr>
        <w:t xml:space="preserve">Step 3 (scoring): </w:t>
      </w:r>
      <w:r>
        <w:rPr>
          <w:sz w:val="21"/>
          <w:szCs w:val="21"/>
        </w:rPr>
        <w:t xml:space="preserve">adopt AgentHarm's hybrid grading pattern — deterministic checks first, narrow LLM judge only for isolated semantic sub-questions — and track a benign-task baseline alongside every attack run so a capability-loss confound doesn't get mistaken for a defense working.</w:t>
      </w:r>
    </w:p>
    <w:p>
      <w:pPr>
        <w:pStyle w:val="ListParagraph"/>
        <w:numPr>
          <w:ilvl w:val="0"/>
          <w:numId w:val="2"/>
        </w:numPr>
        <w:spacing w:after="60" w:line="270"/>
      </w:pPr>
      <w:r>
        <w:rPr>
          <w:b/>
          <w:bCs/>
          <w:sz w:val="21"/>
          <w:szCs w:val="21"/>
        </w:rPr>
        <w:t xml:space="preserve">Step 4 (defense): </w:t>
      </w:r>
      <w:r>
        <w:rPr>
          <w:sz w:val="21"/>
          <w:szCs w:val="21"/>
        </w:rPr>
        <w:t xml:space="preserve">implement PromptGuard 2 / LlamaFirewall as the primary defense (realistic, currently-deployed, known partial bypasses to build on); whichever defense is chosen, the deliverable is incomplete without an adaptive attack built specifically against it, per Section 4 — a before/after number against only a generic attacker will not meet the brief's own bar.</w:t>
      </w:r>
    </w:p>
    <w:p>
      <w:pPr>
        <w:pStyle w:val="ListParagraph"/>
        <w:numPr>
          <w:ilvl w:val="0"/>
          <w:numId w:val="2"/>
        </w:numPr>
        <w:spacing w:after="60" w:line="270"/>
      </w:pPr>
      <w:r>
        <w:rPr>
          <w:b/>
          <w:bCs/>
          <w:sz w:val="21"/>
          <w:szCs w:val="21"/>
        </w:rPr>
        <w:t xml:space="preserve">Step 5 (packaging): </w:t>
      </w:r>
      <w:r>
        <w:rPr>
          <w:sz w:val="21"/>
          <w:szCs w:val="21"/>
        </w:rPr>
        <w:t xml:space="preserve">map every finding to both OWASP LLM Top 10 and the newer OWASP Agentic Top 10, plus MITRE ATLAS, from the start — Promptfoo ships presets for the first and third — rather than retrofitting a taxonomy at the end. Use JailbreakBench's published artifacts as additional seed prompts when building the attack corpus in Section 5.2.</w:t>
      </w:r>
    </w:p>
    <w:p>
      <w:pPr>
        <w:pStyle w:val="ListParagraph"/>
        <w:numPr>
          <w:ilvl w:val="0"/>
          <w:numId w:val="2"/>
        </w:numPr>
        <w:spacing w:after="60" w:line="270"/>
      </w:pPr>
      <w:r>
        <w:rPr>
          <w:b/>
          <w:bCs/>
          <w:sz w:val="21"/>
          <w:szCs w:val="21"/>
        </w:rPr>
        <w:t xml:space="preserve">Stretch goal (Section 10 of the brief): </w:t>
      </w:r>
      <w:r>
        <w:rPr>
          <w:sz w:val="21"/>
          <w:szCs w:val="21"/>
        </w:rPr>
        <w:t xml:space="preserve">a CaMeL-style capability gate, evaluated with the same adaptive-attack discipline as the primary defense, is the natural fit if time allows — its provable-guarantee framing is the one claim in this literature not yet stress-tested by Zhan et al.'s adaptive-attack methodology.</w:t>
      </w:r>
    </w:p>
    <w:p>
      <w:pPr>
        <w:pStyle w:val="Heading1"/>
        <w:spacing w:after="120" w:before="280"/>
      </w:pPr>
      <w:r>
        <w:rPr>
          <w:b/>
          <w:bCs/>
          <w:color w:val="1F4E5C"/>
          <w:sz w:val="26"/>
          <w:szCs w:val="26"/>
        </w:rPr>
        <w:t xml:space="preserve">8. Key References</w:t>
      </w:r>
    </w:p>
    <w:p>
      <w:pPr>
        <w:pStyle w:val="ListParagraph"/>
        <w:numPr>
          <w:ilvl w:val="0"/>
          <w:numId w:val="2"/>
        </w:numPr>
        <w:spacing w:after="60" w:line="270"/>
      </w:pPr>
      <w:r>
        <w:rPr>
          <w:sz w:val="21"/>
          <w:szCs w:val="21"/>
        </w:rPr>
        <w:t xml:space="preserve">Debenedetti et al. (2024). AgentDojo: A Dynamic Environment to Evaluate Prompt Injection Attacks and Defenses for LLM Agents. arXiv:2406.13352.</w:t>
      </w:r>
    </w:p>
    <w:p>
      <w:pPr>
        <w:pStyle w:val="ListParagraph"/>
        <w:numPr>
          <w:ilvl w:val="0"/>
          <w:numId w:val="2"/>
        </w:numPr>
        <w:spacing w:after="60" w:line="270"/>
      </w:pPr>
      <w:r>
        <w:rPr>
          <w:sz w:val="21"/>
          <w:szCs w:val="21"/>
        </w:rPr>
        <w:t xml:space="preserve">Andriushchenko, Souly et al. (ICLR 2025). AgentHarm: A Benchmark for Measuring Harmfulness of LLM Agents. arXiv:2410.09024.</w:t>
      </w:r>
    </w:p>
    <w:p>
      <w:pPr>
        <w:pStyle w:val="ListParagraph"/>
        <w:numPr>
          <w:ilvl w:val="0"/>
          <w:numId w:val="2"/>
        </w:numPr>
        <w:spacing w:after="60" w:line="270"/>
      </w:pPr>
      <w:r>
        <w:rPr>
          <w:sz w:val="21"/>
          <w:szCs w:val="21"/>
        </w:rPr>
        <w:t xml:space="preserve">Zhan, Fang, Panchal, Kang (2025). Adaptive Attacks Break Defenses Against Indirect Prompt Injection Attacks on LLM Agents. arXiv:2503.00061.</w:t>
      </w:r>
    </w:p>
    <w:p>
      <w:pPr>
        <w:pStyle w:val="ListParagraph"/>
        <w:numPr>
          <w:ilvl w:val="0"/>
          <w:numId w:val="2"/>
        </w:numPr>
        <w:spacing w:after="60" w:line="270"/>
      </w:pPr>
      <w:r>
        <w:rPr>
          <w:sz w:val="21"/>
          <w:szCs w:val="21"/>
        </w:rPr>
        <w:t xml:space="preserve">Mehrotra et al. (2023). Tree of Attacks: Jailbreaking Black-Box LLMs Automatically. arXiv:2312.02119.</w:t>
      </w:r>
    </w:p>
    <w:p>
      <w:pPr>
        <w:pStyle w:val="ListParagraph"/>
        <w:numPr>
          <w:ilvl w:val="0"/>
          <w:numId w:val="2"/>
        </w:numPr>
        <w:spacing w:after="60" w:line="270"/>
      </w:pPr>
      <w:r>
        <w:rPr>
          <w:sz w:val="21"/>
          <w:szCs w:val="21"/>
        </w:rPr>
        <w:t xml:space="preserve">Zou et al. (2023). Universal and Transferable Adversarial Attacks on Aligned Language Models (GCG). arXiv:2307.15043.</w:t>
      </w:r>
    </w:p>
    <w:p>
      <w:pPr>
        <w:pStyle w:val="ListParagraph"/>
        <w:numPr>
          <w:ilvl w:val="0"/>
          <w:numId w:val="2"/>
        </w:numPr>
        <w:spacing w:after="60" w:line="270"/>
      </w:pPr>
      <w:r>
        <w:rPr>
          <w:sz w:val="21"/>
          <w:szCs w:val="21"/>
        </w:rPr>
        <w:t xml:space="preserve">Liu et al. (2024). AutoDAN: Generating Stealthy Jailbreak Prompts on Aligned Large Language Models. ICLR 2024.</w:t>
      </w:r>
    </w:p>
    <w:p>
      <w:pPr>
        <w:pStyle w:val="ListParagraph"/>
        <w:numPr>
          <w:ilvl w:val="0"/>
          <w:numId w:val="2"/>
        </w:numPr>
        <w:spacing w:after="60" w:line="270"/>
      </w:pPr>
      <w:r>
        <w:rPr>
          <w:sz w:val="21"/>
          <w:szCs w:val="21"/>
        </w:rPr>
        <w:t xml:space="preserve">Zhan et al. (2024). InjecAgent: Benchmarking Indirect Prompt Injections in Tool-Integrated LLM Agents.</w:t>
      </w:r>
    </w:p>
    <w:p>
      <w:pPr>
        <w:pStyle w:val="ListParagraph"/>
        <w:numPr>
          <w:ilvl w:val="0"/>
          <w:numId w:val="2"/>
        </w:numPr>
        <w:spacing w:after="60" w:line="270"/>
      </w:pPr>
      <w:r>
        <w:rPr>
          <w:sz w:val="21"/>
          <w:szCs w:val="21"/>
        </w:rPr>
        <w:t xml:space="preserve">OWASP (2025). OWASP Top 10 for Large Language Model Applications. promptfoo.dev/docs/red-team/owasp-llm-top-10.</w:t>
      </w:r>
    </w:p>
    <w:p>
      <w:pPr>
        <w:pStyle w:val="ListParagraph"/>
        <w:numPr>
          <w:ilvl w:val="0"/>
          <w:numId w:val="2"/>
        </w:numPr>
        <w:spacing w:after="60" w:line="270"/>
      </w:pPr>
      <w:r>
        <w:rPr>
          <w:sz w:val="21"/>
          <w:szCs w:val="21"/>
        </w:rPr>
        <w:t xml:space="preserve">OWASP (2025). OWASP Top 10 for Agentic Applications.</w:t>
      </w:r>
    </w:p>
    <w:p>
      <w:pPr>
        <w:pStyle w:val="ListParagraph"/>
        <w:numPr>
          <w:ilvl w:val="0"/>
          <w:numId w:val="2"/>
        </w:numPr>
        <w:spacing w:after="60" w:line="270"/>
      </w:pPr>
      <w:r>
        <w:rPr>
          <w:sz w:val="21"/>
          <w:szCs w:val="21"/>
        </w:rPr>
        <w:t xml:space="preserve">Chao, Debenedetti et al. (NeurIPS 2024). JailbreakBench: An Open Robustness Benchmark for Jailbreaking Large Language Models. github.com/JailbreakBench/jailbreakbench.</w:t>
      </w:r>
    </w:p>
    <w:p>
      <w:pPr>
        <w:pStyle w:val="ListParagraph"/>
        <w:numPr>
          <w:ilvl w:val="0"/>
          <w:numId w:val="2"/>
        </w:numPr>
        <w:spacing w:after="60" w:line="270"/>
      </w:pPr>
      <w:r>
        <w:rPr>
          <w:sz w:val="21"/>
          <w:szCs w:val="21"/>
        </w:rPr>
        <w:t xml:space="preserve">NVIDIA. Garak — the LLM vulnerability scanner. github.com/NVIDIA/garak.</w:t>
      </w:r>
    </w:p>
    <w:p>
      <w:pPr>
        <w:pStyle w:val="ListParagraph"/>
        <w:numPr>
          <w:ilvl w:val="0"/>
          <w:numId w:val="2"/>
        </w:numPr>
        <w:spacing w:after="60" w:line="270"/>
      </w:pPr>
      <w:r>
        <w:rPr>
          <w:sz w:val="21"/>
          <w:szCs w:val="21"/>
        </w:rPr>
        <w:t xml:space="preserve">Microsoft. PyRIT — Python Risk Identification Tool for GenAI. github.com/Azure/PyRIT.</w:t>
      </w:r>
    </w:p>
    <w:p>
      <w:pPr>
        <w:pStyle w:val="ListParagraph"/>
        <w:numPr>
          <w:ilvl w:val="0"/>
          <w:numId w:val="2"/>
        </w:numPr>
        <w:spacing w:after="60" w:line="270"/>
      </w:pPr>
      <w:r>
        <w:rPr>
          <w:sz w:val="21"/>
          <w:szCs w:val="21"/>
        </w:rPr>
        <w:t xml:space="preserve">Meta. LlamaFirewall / PromptGuard 2. meta-llama.github.io/PurpleLlama/LlamaFirewall.</w:t>
      </w:r>
    </w:p>
    <w:p>
      <w:pPr>
        <w:pStyle w:val="ListParagraph"/>
        <w:numPr>
          <w:ilvl w:val="0"/>
          <w:numId w:val="2"/>
        </w:numPr>
        <w:spacing w:after="60" w:line="270"/>
      </w:pPr>
      <w:r>
        <w:rPr>
          <w:sz w:val="21"/>
          <w:szCs w:val="21"/>
        </w:rPr>
        <w:t xml:space="preserve">Debenedetti et al. (2025). Defeating Prompt Injections by Design (CaMeL). simonwillison.net/2025/Apr/11/camel.</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color w:val="595959"/>
        <w:sz w:val="16"/>
        <w:szCs w:val="16"/>
      </w:rPr>
      <w:t xml:space="preserve">Project 5 — Automated Red-Teaming Harness</w:t>
    </w:r>
    <w:r>
      <w:rPr>
        <w:color w:val="595959"/>
        <w:sz w:val="16"/>
        <w:szCs w:val="16"/>
      </w:rPr>
      <w:t xml:space="preserve">	State-of-the-Art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2026-07-10T23:19:34.400Z</dcterms:created>
  <dcterms:modified xsi:type="dcterms:W3CDTF">2026-07-10T23:19:34.419Z</dcterms:modified>
</cp:coreProperties>
</file>

<file path=docProps/custom.xml><?xml version="1.0" encoding="utf-8"?>
<Properties xmlns="http://schemas.openxmlformats.org/officeDocument/2006/custom-properties" xmlns:vt="http://schemas.openxmlformats.org/officeDocument/2006/docPropsVTypes"/>
</file>