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0BC" w:rsidRPr="00C5363E" w:rsidRDefault="008410BC" w:rsidP="008410BC">
      <w:pPr>
        <w:spacing w:after="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  <w:r w:rsidRPr="00C5363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Résumé éléments pertinents pour l'exploitation quotidienne des agents NOC</w:t>
      </w:r>
    </w:p>
    <w:p w:rsidR="00F2474E" w:rsidRDefault="00F2474E" w:rsidP="003C71A9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  <w:r w:rsidRPr="003C71A9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KPI essentiels à intégrer dans la plateforme</w:t>
      </w:r>
    </w:p>
    <w:p w:rsidR="003C71A9" w:rsidRPr="003C71A9" w:rsidRDefault="003C71A9" w:rsidP="003C71A9">
      <w:pPr>
        <w:pStyle w:val="Paragraphedelist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</w:p>
    <w:p w:rsidR="00F2474E" w:rsidRPr="003C71A9" w:rsidRDefault="00F2474E" w:rsidP="003C71A9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fr-BF" w:eastAsia="fr-BF"/>
        </w:rPr>
      </w:pPr>
      <w:r w:rsidRPr="003C71A9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KPI réseau</w:t>
      </w:r>
      <w:r w:rsidR="003C71A9" w:rsidRPr="003C71A9">
        <w:rPr>
          <w:rFonts w:ascii="Arial" w:eastAsia="Times New Roman" w:hAnsi="Arial" w:cs="Arial"/>
          <w:b/>
          <w:bCs/>
          <w:sz w:val="24"/>
          <w:szCs w:val="24"/>
          <w:lang w:val="fr-FR" w:eastAsia="fr-BF"/>
        </w:rPr>
        <w:t> :</w:t>
      </w:r>
    </w:p>
    <w:p w:rsidR="00F2474E" w:rsidRPr="00F2474E" w:rsidRDefault="00F2474E" w:rsidP="00F24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Taux de disponibilité global du RESINA ;</w:t>
      </w:r>
    </w:p>
    <w:p w:rsidR="00F2474E" w:rsidRPr="00F2474E" w:rsidRDefault="00F2474E" w:rsidP="00F24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disponibilité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par ministère/structure ;</w:t>
      </w:r>
    </w:p>
    <w:p w:rsidR="00F2474E" w:rsidRPr="00F2474E" w:rsidRDefault="00F2474E" w:rsidP="00F24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disponibilité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par site ;</w:t>
      </w:r>
    </w:p>
    <w:p w:rsidR="00F2474E" w:rsidRPr="00F2474E" w:rsidRDefault="00F2474E" w:rsidP="00F24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disponibilité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des liens ;</w:t>
      </w:r>
    </w:p>
    <w:p w:rsidR="00F2474E" w:rsidRPr="00F2474E" w:rsidRDefault="00F2474E" w:rsidP="00F24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taux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de perte de paquets ;</w:t>
      </w:r>
    </w:p>
    <w:p w:rsidR="00F2474E" w:rsidRPr="00F2474E" w:rsidRDefault="00F2474E" w:rsidP="00F24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latence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moyenne ;</w:t>
      </w:r>
    </w:p>
    <w:p w:rsidR="00F2474E" w:rsidRPr="00F2474E" w:rsidRDefault="00F2474E" w:rsidP="00F24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utilisation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de la bande passante ;</w:t>
      </w:r>
    </w:p>
    <w:p w:rsidR="00F2474E" w:rsidRPr="00F2474E" w:rsidRDefault="00F2474E" w:rsidP="00F24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nombre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de liens/sites indisponibles.</w:t>
      </w:r>
    </w:p>
    <w:p w:rsidR="00F2474E" w:rsidRPr="003C71A9" w:rsidRDefault="00F2474E" w:rsidP="003C71A9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fr-BF" w:eastAsia="fr-BF"/>
        </w:rPr>
      </w:pPr>
      <w:r w:rsidRPr="003C71A9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KPI incidents</w:t>
      </w:r>
      <w:r w:rsidR="003C71A9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 </w:t>
      </w:r>
      <w:r w:rsidR="003C71A9">
        <w:rPr>
          <w:rFonts w:ascii="Arial" w:eastAsia="Times New Roman" w:hAnsi="Arial" w:cs="Arial"/>
          <w:b/>
          <w:bCs/>
          <w:sz w:val="24"/>
          <w:szCs w:val="24"/>
          <w:lang w:val="fr-FR" w:eastAsia="fr-BF"/>
        </w:rPr>
        <w:t>: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nombre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total d’incidents ;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incidents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ouverts ;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incidents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résolus ;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incidents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critiques ;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incidents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en retard ;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taux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de résolution ;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MTTA ;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MTTR ;</w:t>
      </w:r>
    </w:p>
    <w:p w:rsidR="00F2474E" w:rsidRPr="00F2474E" w:rsidRDefault="00F2474E" w:rsidP="00F24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nombre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d’incidents récurrents.</w:t>
      </w:r>
    </w:p>
    <w:p w:rsidR="00F2474E" w:rsidRPr="00F2474E" w:rsidRDefault="00F2474E" w:rsidP="00C5363E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  <w:r w:rsidRPr="00C5363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KPI supervision</w:t>
      </w:r>
      <w:r w:rsidR="00C5363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 </w:t>
      </w:r>
      <w:r w:rsidR="00C5363E">
        <w:rPr>
          <w:rFonts w:ascii="Arial" w:eastAsia="Times New Roman" w:hAnsi="Arial" w:cs="Arial"/>
          <w:b/>
          <w:bCs/>
          <w:sz w:val="24"/>
          <w:szCs w:val="24"/>
          <w:lang w:val="fr-FR" w:eastAsia="fr-BF"/>
        </w:rPr>
        <w:t>:</w:t>
      </w:r>
    </w:p>
    <w:p w:rsidR="00F2474E" w:rsidRPr="00F2474E" w:rsidRDefault="00F2474E" w:rsidP="00F24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nombre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total d’équipements ;</w:t>
      </w:r>
    </w:p>
    <w:p w:rsidR="00F2474E" w:rsidRPr="00F2474E" w:rsidRDefault="00F2474E" w:rsidP="00F24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nombre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d’équipements supervisés ;</w:t>
      </w:r>
    </w:p>
    <w:p w:rsidR="00F2474E" w:rsidRPr="00F2474E" w:rsidRDefault="00F2474E" w:rsidP="00F24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taux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de couverture de supervision ;</w:t>
      </w:r>
    </w:p>
    <w:p w:rsidR="00F2474E" w:rsidRPr="00F2474E" w:rsidRDefault="00F2474E" w:rsidP="00F24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équipements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non supervisés ;</w:t>
      </w:r>
    </w:p>
    <w:p w:rsidR="00F2474E" w:rsidRPr="00F2474E" w:rsidRDefault="00F2474E" w:rsidP="00F24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sites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non supervisés ;</w:t>
      </w:r>
    </w:p>
    <w:p w:rsidR="00F2474E" w:rsidRPr="00F2474E" w:rsidRDefault="00F2474E" w:rsidP="00F24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nombre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d’alertes actives ;</w:t>
      </w:r>
    </w:p>
    <w:p w:rsidR="00F2474E" w:rsidRPr="00F2474E" w:rsidRDefault="00F2474E" w:rsidP="00F24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nombre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d’alertes critiques.</w:t>
      </w:r>
    </w:p>
    <w:p w:rsidR="00F2474E" w:rsidRPr="00F2474E" w:rsidRDefault="00F2474E" w:rsidP="003C71A9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Fonctionnalités métier importantes de la plateforme</w:t>
      </w:r>
    </w:p>
    <w:p w:rsidR="00F2474E" w:rsidRPr="00F2474E" w:rsidRDefault="00F2474E" w:rsidP="00F247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Pour les agents NOC, la plateforme devrait notamment permettre :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une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</w:t>
      </w:r>
      <w:r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vue temps réel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de l'état du réseau ;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un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</w:t>
      </w:r>
      <w:r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filtrage par ministère, région, province, site et équipement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;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une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classification des incidents par </w:t>
      </w:r>
      <w:r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criticité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;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l'accès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à l'</w:t>
      </w:r>
      <w:r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historique des incidents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;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la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visualisation des </w:t>
      </w:r>
      <w:r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tendances sur 24 h, 7 jours, 30 jours et 6 mois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;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l'identification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du </w:t>
      </w:r>
      <w:r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Top 10 des sites ou équipements les plus incidentés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;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le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suivi des </w:t>
      </w:r>
      <w:r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SLA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;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la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génération automatique de rapports périodiques ;</w:t>
      </w:r>
    </w:p>
    <w:p w:rsidR="00F2474E" w:rsidRPr="00F2474E" w:rsidRDefault="00F2474E" w:rsidP="00F24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proofErr w:type="gramStart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lastRenderedPageBreak/>
        <w:t>la</w:t>
      </w:r>
      <w:proofErr w:type="gramEnd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possibilité de faire un </w:t>
      </w:r>
      <w:r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drill-down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: </w:t>
      </w:r>
      <w:r w:rsidRPr="003C71A9">
        <w:rPr>
          <w:rFonts w:ascii="Arial" w:eastAsia="Times New Roman" w:hAnsi="Arial" w:cs="Arial"/>
          <w:i/>
          <w:iCs/>
          <w:sz w:val="24"/>
          <w:szCs w:val="24"/>
          <w:lang w:val="fr-BF" w:eastAsia="fr-BF"/>
        </w:rPr>
        <w:t>KPI global → ministère → province → site → équipement → incident</w:t>
      </w: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.</w:t>
      </w:r>
    </w:p>
    <w:p w:rsidR="00F2474E" w:rsidRPr="00F2474E" w:rsidRDefault="00F2474E" w:rsidP="00C5363E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Organisation du tableau de bord NOC</w:t>
      </w:r>
    </w:p>
    <w:p w:rsidR="00F2474E" w:rsidRPr="00F2474E" w:rsidRDefault="00C5363E" w:rsidP="00F247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>
        <w:rPr>
          <w:rFonts w:ascii="Arial" w:eastAsia="Times New Roman" w:hAnsi="Arial" w:cs="Arial"/>
          <w:sz w:val="24"/>
          <w:szCs w:val="24"/>
          <w:lang w:val="fr-FR" w:eastAsia="fr-BF"/>
        </w:rPr>
        <w:t>U</w:t>
      </w:r>
      <w:r w:rsidR="00F2474E"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ne architecture en </w:t>
      </w:r>
      <w:r w:rsidR="00F2474E" w:rsidRPr="003C71A9">
        <w:rPr>
          <w:rFonts w:ascii="Arial" w:eastAsia="Times New Roman" w:hAnsi="Arial" w:cs="Arial"/>
          <w:bCs/>
          <w:sz w:val="24"/>
          <w:szCs w:val="24"/>
          <w:lang w:val="fr-BF" w:eastAsia="fr-BF"/>
        </w:rPr>
        <w:t>4 niveaux</w:t>
      </w:r>
      <w:r w:rsidR="00F2474E"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:</w:t>
      </w:r>
    </w:p>
    <w:p w:rsidR="00F2474E" w:rsidRPr="00C5363E" w:rsidRDefault="00F2474E" w:rsidP="00C5363E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fr-BF" w:eastAsia="fr-BF"/>
        </w:rPr>
      </w:pPr>
      <w:r w:rsidRPr="00C5363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 xml:space="preserve">Niveau 1 – Vue </w:t>
      </w:r>
      <w:r w:rsidR="003C71A9" w:rsidRPr="00C5363E">
        <w:rPr>
          <w:rFonts w:ascii="Arial" w:eastAsia="Times New Roman" w:hAnsi="Arial" w:cs="Arial"/>
          <w:b/>
          <w:bCs/>
          <w:sz w:val="24"/>
          <w:szCs w:val="24"/>
          <w:lang w:val="fr-FR" w:eastAsia="fr-BF"/>
        </w:rPr>
        <w:t xml:space="preserve">Décideur </w:t>
      </w:r>
    </w:p>
    <w:p w:rsidR="00F2474E" w:rsidRPr="00F2474E" w:rsidRDefault="00F2474E" w:rsidP="00F2474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Disponibilité globale | Incidents critiques | SLA | MTTR | Top 10 sites | Tendance </w:t>
      </w:r>
      <w:r w:rsidR="005B680C">
        <w:rPr>
          <w:rFonts w:ascii="Arial" w:eastAsia="Times New Roman" w:hAnsi="Arial" w:cs="Arial"/>
          <w:sz w:val="24"/>
          <w:szCs w:val="24"/>
          <w:lang w:val="fr-FR" w:eastAsia="fr-BF"/>
        </w:rPr>
        <w:t>1</w:t>
      </w:r>
      <w:bookmarkStart w:id="0" w:name="_GoBack"/>
      <w:bookmarkEnd w:id="0"/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 xml:space="preserve"> mois</w:t>
      </w:r>
    </w:p>
    <w:p w:rsidR="00F2474E" w:rsidRPr="00F2474E" w:rsidRDefault="00F2474E" w:rsidP="00C5363E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  <w:r w:rsidRPr="00C5363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Niveau 2 – Vue Chef NOC</w:t>
      </w:r>
    </w:p>
    <w:p w:rsidR="00F2474E" w:rsidRPr="00F2474E" w:rsidRDefault="00F2474E" w:rsidP="00F2474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État du réseau | Incidents en cours | Alertes | Performance | Équipements critiques</w:t>
      </w:r>
    </w:p>
    <w:p w:rsidR="00F2474E" w:rsidRPr="00F2474E" w:rsidRDefault="00F2474E" w:rsidP="00C5363E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  <w:r w:rsidRPr="00C5363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Niveau 3 – Vue Agent NOC</w:t>
      </w:r>
    </w:p>
    <w:p w:rsidR="00F2474E" w:rsidRPr="00F2474E" w:rsidRDefault="00F2474E" w:rsidP="00F2474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Alertes temps réel | Incidents à traiter | Sites affectés | Historique | Actions en cours</w:t>
      </w:r>
    </w:p>
    <w:p w:rsidR="00F2474E" w:rsidRPr="00F2474E" w:rsidRDefault="00F2474E" w:rsidP="00C5363E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</w:pPr>
      <w:r w:rsidRPr="00C5363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Niveau 4 – Vue technique</w:t>
      </w:r>
    </w:p>
    <w:p w:rsidR="00F2474E" w:rsidRPr="003C71A9" w:rsidRDefault="00F2474E" w:rsidP="00F2474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  <w:r w:rsidRPr="00F2474E">
        <w:rPr>
          <w:rFonts w:ascii="Arial" w:eastAsia="Times New Roman" w:hAnsi="Arial" w:cs="Arial"/>
          <w:sz w:val="24"/>
          <w:szCs w:val="24"/>
          <w:lang w:val="fr-BF" w:eastAsia="fr-BF"/>
        </w:rPr>
        <w:t>Équipement | Interface | CPU | RAM | trafic | latence | pertes | logs | historique</w:t>
      </w:r>
    </w:p>
    <w:p w:rsidR="003C71A9" w:rsidRPr="003C71A9" w:rsidRDefault="003C71A9" w:rsidP="00F2474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</w:p>
    <w:p w:rsidR="003C71A9" w:rsidRPr="003C71A9" w:rsidRDefault="003C71A9" w:rsidP="00F2474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</w:p>
    <w:p w:rsidR="003C71A9" w:rsidRPr="003C71A9" w:rsidRDefault="003C71A9" w:rsidP="00F2474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</w:p>
    <w:p w:rsidR="003C71A9" w:rsidRPr="00C5363E" w:rsidRDefault="003C71A9" w:rsidP="00F2474E">
      <w:pPr>
        <w:spacing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fr-BF" w:eastAsia="fr-BF"/>
        </w:rPr>
      </w:pPr>
      <w:r w:rsidRPr="00C5363E">
        <w:rPr>
          <w:rFonts w:ascii="Arial" w:eastAsia="Times New Roman" w:hAnsi="Arial" w:cs="Arial"/>
          <w:b/>
          <w:sz w:val="24"/>
          <w:szCs w:val="24"/>
          <w:lang w:val="fr-BF" w:eastAsia="fr-BF"/>
        </w:rPr>
        <w:t xml:space="preserve">KPI </w:t>
      </w:r>
      <w:r w:rsidRPr="00C5363E">
        <w:rPr>
          <w:rFonts w:ascii="Arial" w:eastAsia="Times New Roman" w:hAnsi="Arial" w:cs="Arial"/>
          <w:b/>
          <w:bCs/>
          <w:sz w:val="24"/>
          <w:szCs w:val="24"/>
          <w:lang w:val="fr-BF" w:eastAsia="fr-BF"/>
        </w:rPr>
        <w:t>réseau</w:t>
      </w:r>
    </w:p>
    <w:tbl>
      <w:tblPr>
        <w:tblStyle w:val="Grilledutableau"/>
        <w:tblW w:w="10126" w:type="dxa"/>
        <w:jc w:val="center"/>
        <w:tblLook w:val="04A0" w:firstRow="1" w:lastRow="0" w:firstColumn="1" w:lastColumn="0" w:noHBand="0" w:noVBand="1"/>
      </w:tblPr>
      <w:tblGrid>
        <w:gridCol w:w="4297"/>
        <w:gridCol w:w="1727"/>
        <w:gridCol w:w="1165"/>
        <w:gridCol w:w="2937"/>
      </w:tblGrid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KPI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Cible / Seuil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Réel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Statut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Disponibilité du réseau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99 %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98,4 %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3C71A9" w:rsidTr="00C5363E">
        <w:trPr>
          <w:trHeight w:val="25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Disponibilité des sites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99 %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99,2 %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Disponibilité des liens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99 %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97,8 %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Perte de paquets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2 %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1,2 %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Latence moyenne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100 ms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86 ms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3C71A9" w:rsidTr="00C5363E">
        <w:trPr>
          <w:trHeight w:val="25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Utilisation de la bande passante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80 %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76 %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Taux de résolution des incidents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95 %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91 %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À surveiller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MTTA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15 min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12 min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MTTR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4 h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5 h 20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critiques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5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8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3C71A9" w:rsidTr="00C5363E">
        <w:trPr>
          <w:trHeight w:val="25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Respect des SLA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95 %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93 %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À surveiller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Couverture de supervision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95 %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87 %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Équipements supervisés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95 %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92 %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À surveiller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Alertes critiques actives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5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3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3C71A9" w:rsidTr="00C5363E">
        <w:trPr>
          <w:trHeight w:val="248"/>
          <w:jc w:val="center"/>
        </w:trPr>
        <w:tc>
          <w:tcPr>
            <w:tcW w:w="0" w:type="auto"/>
            <w:hideMark/>
          </w:tcPr>
          <w:p w:rsidR="003C71A9" w:rsidRPr="003C71A9" w:rsidRDefault="003C71A9" w:rsidP="003C71A9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récurrents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10/mois</w:t>
            </w:r>
          </w:p>
        </w:tc>
        <w:tc>
          <w:tcPr>
            <w:tcW w:w="0" w:type="auto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14/mois</w:t>
            </w:r>
          </w:p>
        </w:tc>
        <w:tc>
          <w:tcPr>
            <w:tcW w:w="2937" w:type="dxa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</w:tbl>
    <w:p w:rsidR="003C71A9" w:rsidRPr="003C71A9" w:rsidRDefault="003C71A9" w:rsidP="00F2474E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BF" w:eastAsia="fr-BF"/>
        </w:rPr>
      </w:pPr>
    </w:p>
    <w:p w:rsidR="003C71A9" w:rsidRPr="00F2474E" w:rsidRDefault="003C71A9" w:rsidP="00F2474E">
      <w:pPr>
        <w:spacing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fr-BF" w:eastAsia="fr-BF"/>
        </w:rPr>
      </w:pPr>
      <w:r w:rsidRPr="00C5363E">
        <w:rPr>
          <w:rFonts w:ascii="Arial" w:eastAsia="Times New Roman" w:hAnsi="Arial" w:cs="Arial"/>
          <w:b/>
          <w:sz w:val="24"/>
          <w:szCs w:val="24"/>
          <w:lang w:val="fr-BF" w:eastAsia="fr-BF"/>
        </w:rPr>
        <w:lastRenderedPageBreak/>
        <w:t>KPI Incidents NOC</w:t>
      </w:r>
    </w:p>
    <w:tbl>
      <w:tblPr>
        <w:tblStyle w:val="Grilledutableau"/>
        <w:tblW w:w="10060" w:type="dxa"/>
        <w:jc w:val="center"/>
        <w:tblLook w:val="04A0" w:firstRow="1" w:lastRow="0" w:firstColumn="1" w:lastColumn="0" w:noHBand="0" w:noVBand="1"/>
      </w:tblPr>
      <w:tblGrid>
        <w:gridCol w:w="3540"/>
        <w:gridCol w:w="2580"/>
        <w:gridCol w:w="929"/>
        <w:gridCol w:w="1013"/>
        <w:gridCol w:w="1998"/>
      </w:tblGrid>
      <w:tr w:rsidR="00C5363E" w:rsidRPr="00C5363E" w:rsidTr="00C5363E">
        <w:trPr>
          <w:trHeight w:val="514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KPI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Seuil / Cible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Réel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Écart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b/>
                <w:bCs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b/>
                <w:bCs/>
                <w:lang w:val="fr-BF" w:eastAsia="fr-BF"/>
              </w:rPr>
              <w:t>Statut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Nombre total d’incidents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100/mois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-15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ouverts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20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-2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critiques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5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+3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Critique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majeurs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10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+2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À surveiller</w:t>
            </w:r>
          </w:p>
        </w:tc>
      </w:tr>
      <w:tr w:rsidR="00C5363E" w:rsidRPr="00C5363E" w:rsidTr="00C5363E">
        <w:trPr>
          <w:trHeight w:val="26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résolus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95 %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92 %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-3 pts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À surveiller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Taux de résolution des incidents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95 %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96 %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+1 pt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C5363E" w:rsidTr="00C5363E">
        <w:trPr>
          <w:trHeight w:val="503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en retard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5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+2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C5363E" w:rsidTr="00C5363E">
        <w:trPr>
          <w:trHeight w:val="514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récurrents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10/mois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+4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C5363E" w:rsidTr="00C5363E">
        <w:trPr>
          <w:trHeight w:val="503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MTTA – Temps moyen de prise en compte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15 min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12 min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-3 min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C5363E" w:rsidTr="00C5363E">
        <w:trPr>
          <w:trHeight w:val="514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MTTR – Temps moyen de résolution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4 h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5 h 20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+1 h 20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Respect des SLA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≥ 95 %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93 %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-2 pts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À surveiller</w:t>
            </w:r>
          </w:p>
        </w:tc>
      </w:tr>
      <w:tr w:rsidR="00C5363E" w:rsidRPr="00C5363E" w:rsidTr="00C5363E">
        <w:trPr>
          <w:trHeight w:val="514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sans cause identifiée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5 %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8 %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+3 pts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Non conforme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réouverts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5 %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3 %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-2 pts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non affectés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≤ 5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-3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Conforme</w:t>
            </w:r>
          </w:p>
        </w:tc>
      </w:tr>
      <w:tr w:rsidR="00C5363E" w:rsidRPr="00C5363E" w:rsidTr="00C5363E">
        <w:trPr>
          <w:trHeight w:val="252"/>
          <w:jc w:val="center"/>
        </w:trPr>
        <w:tc>
          <w:tcPr>
            <w:tcW w:w="3540" w:type="dxa"/>
            <w:vAlign w:val="center"/>
            <w:hideMark/>
          </w:tcPr>
          <w:p w:rsidR="003C71A9" w:rsidRPr="003C71A9" w:rsidRDefault="003C71A9" w:rsidP="00C5363E">
            <w:pPr>
              <w:rPr>
                <w:rFonts w:ascii="Arial" w:eastAsia="Times New Roman" w:hAnsi="Arial" w:cs="Arial"/>
                <w:b/>
                <w:lang w:val="fr-BF" w:eastAsia="fr-BF"/>
              </w:rPr>
            </w:pPr>
            <w:r w:rsidRPr="00C5363E">
              <w:rPr>
                <w:rFonts w:ascii="Arial" w:eastAsia="Times New Roman" w:hAnsi="Arial" w:cs="Arial"/>
                <w:b/>
                <w:bCs/>
                <w:lang w:val="fr-BF" w:eastAsia="fr-BF"/>
              </w:rPr>
              <w:t>Incidents critiques non traités</w:t>
            </w:r>
          </w:p>
        </w:tc>
        <w:tc>
          <w:tcPr>
            <w:tcW w:w="2580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+2</w:t>
            </w:r>
          </w:p>
        </w:tc>
        <w:tc>
          <w:tcPr>
            <w:tcW w:w="1998" w:type="dxa"/>
            <w:vAlign w:val="center"/>
            <w:hideMark/>
          </w:tcPr>
          <w:p w:rsidR="003C71A9" w:rsidRPr="003C71A9" w:rsidRDefault="003C71A9" w:rsidP="00C5363E">
            <w:pPr>
              <w:jc w:val="center"/>
              <w:rPr>
                <w:rFonts w:ascii="Arial" w:eastAsia="Times New Roman" w:hAnsi="Arial" w:cs="Arial"/>
                <w:lang w:val="fr-BF" w:eastAsia="fr-BF"/>
              </w:rPr>
            </w:pPr>
            <w:r w:rsidRPr="003C71A9">
              <w:rPr>
                <w:rFonts w:ascii="Arial" w:eastAsia="Times New Roman" w:hAnsi="Arial" w:cs="Arial"/>
                <w:lang w:val="fr-BF" w:eastAsia="fr-BF"/>
              </w:rPr>
              <w:t>Critique</w:t>
            </w:r>
          </w:p>
        </w:tc>
      </w:tr>
    </w:tbl>
    <w:p w:rsidR="008410BC" w:rsidRPr="003C71A9" w:rsidRDefault="008410BC">
      <w:pPr>
        <w:rPr>
          <w:rFonts w:ascii="Arial" w:hAnsi="Arial" w:cs="Arial"/>
          <w:sz w:val="24"/>
          <w:szCs w:val="24"/>
        </w:rPr>
      </w:pPr>
    </w:p>
    <w:sectPr w:rsidR="008410BC" w:rsidRPr="003C7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74EFB"/>
    <w:multiLevelType w:val="multilevel"/>
    <w:tmpl w:val="71D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06EC6"/>
    <w:multiLevelType w:val="multilevel"/>
    <w:tmpl w:val="E5C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C68D4"/>
    <w:multiLevelType w:val="hybridMultilevel"/>
    <w:tmpl w:val="5486F26A"/>
    <w:lvl w:ilvl="0" w:tplc="D396AB8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C7074"/>
    <w:multiLevelType w:val="multilevel"/>
    <w:tmpl w:val="D336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562E0"/>
    <w:multiLevelType w:val="multilevel"/>
    <w:tmpl w:val="01C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609CB"/>
    <w:multiLevelType w:val="multilevel"/>
    <w:tmpl w:val="E18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1122F"/>
    <w:multiLevelType w:val="multilevel"/>
    <w:tmpl w:val="9AB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25574"/>
    <w:multiLevelType w:val="hybridMultilevel"/>
    <w:tmpl w:val="1FF8F5F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57578"/>
    <w:multiLevelType w:val="hybridMultilevel"/>
    <w:tmpl w:val="96E201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BC"/>
    <w:rsid w:val="003C71A9"/>
    <w:rsid w:val="004123C8"/>
    <w:rsid w:val="00482547"/>
    <w:rsid w:val="005B680C"/>
    <w:rsid w:val="008410BC"/>
    <w:rsid w:val="00B6424F"/>
    <w:rsid w:val="00C5363E"/>
    <w:rsid w:val="00F2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6AAC4"/>
  <w15:chartTrackingRefBased/>
  <w15:docId w15:val="{A7EB8E59-FEE1-4509-8806-8264D7B1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gsw-FR"/>
    </w:rPr>
  </w:style>
  <w:style w:type="paragraph" w:styleId="Titre3">
    <w:name w:val="heading 3"/>
    <w:basedOn w:val="Normal"/>
    <w:link w:val="Titre3Car"/>
    <w:uiPriority w:val="9"/>
    <w:qFormat/>
    <w:rsid w:val="00F24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BF" w:eastAsia="fr-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2474E"/>
    <w:rPr>
      <w:rFonts w:ascii="Times New Roman" w:eastAsia="Times New Roman" w:hAnsi="Times New Roman" w:cs="Times New Roman"/>
      <w:b/>
      <w:bCs/>
      <w:sz w:val="27"/>
      <w:szCs w:val="27"/>
      <w:lang w:val="fr-BF" w:eastAsia="fr-BF"/>
    </w:rPr>
  </w:style>
  <w:style w:type="paragraph" w:styleId="NormalWeb">
    <w:name w:val="Normal (Web)"/>
    <w:basedOn w:val="Normal"/>
    <w:uiPriority w:val="99"/>
    <w:semiHidden/>
    <w:unhideWhenUsed/>
    <w:rsid w:val="00F24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F" w:eastAsia="fr-BF"/>
    </w:rPr>
  </w:style>
  <w:style w:type="character" w:styleId="lev">
    <w:name w:val="Strong"/>
    <w:basedOn w:val="Policepardfaut"/>
    <w:uiPriority w:val="22"/>
    <w:qFormat/>
    <w:rsid w:val="00F2474E"/>
    <w:rPr>
      <w:b/>
      <w:bCs/>
    </w:rPr>
  </w:style>
  <w:style w:type="character" w:styleId="Accentuation">
    <w:name w:val="Emphasis"/>
    <w:basedOn w:val="Policepardfaut"/>
    <w:uiPriority w:val="20"/>
    <w:qFormat/>
    <w:rsid w:val="00F2474E"/>
    <w:rPr>
      <w:i/>
      <w:iCs/>
    </w:rPr>
  </w:style>
  <w:style w:type="table" w:styleId="Grilledutableau">
    <w:name w:val="Table Grid"/>
    <w:basedOn w:val="TableauNormal"/>
    <w:uiPriority w:val="39"/>
    <w:rsid w:val="00F24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C7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3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2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6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2026-08-18T13:42:00Z</dcterms:created>
  <dcterms:modified xsi:type="dcterms:W3CDTF">2026-08-18T14:18:00Z</dcterms:modified>
</cp:coreProperties>
</file>