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Suivi et recette — GSB</w:t>
      </w:r>
    </w:p>
    <w:p>
      <w:r>
        <w:t>Complément au dossier technique • Planning prévisionnel, MLD et fiches de test</w:t>
      </w:r>
    </w:p>
    <w:p>
      <w:r>
        <w:t>Ce document prépare l’organisation et la recette. Les dates, responsables et résultats observés seront renseignés au moment des actions réelles. Le planning est relatif au démarrage du projet, sans date de livraison inventée.</w:t>
      </w:r>
    </w:p>
    <w:p>
      <w:pPr>
        <w:pStyle w:val="Heading1"/>
      </w:pPr>
      <w:r>
        <w:t>1. Planning prévisionnel</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800"/>
          </w:tcPr>
          <w:p>
            <w:pPr>
              <w:spacing w:after="80"/>
            </w:pPr>
            <w:r>
              <w:rPr>
                <w:b/>
                <w:sz w:val="18"/>
              </w:rPr>
              <w:t>Période</w:t>
            </w:r>
          </w:p>
        </w:tc>
        <w:tc>
          <w:tcPr>
            <w:tcW w:type="dxa" w:w="4608"/>
          </w:tcPr>
          <w:p>
            <w:pPr>
              <w:spacing w:after="80"/>
            </w:pPr>
            <w:r>
              <w:rPr>
                <w:b/>
                <w:sz w:val="18"/>
              </w:rPr>
              <w:t>Travail prévu</w:t>
            </w:r>
          </w:p>
        </w:tc>
        <w:tc>
          <w:tcPr>
            <w:tcW w:type="dxa" w:w="3816"/>
          </w:tcPr>
          <w:p>
            <w:pPr>
              <w:spacing w:after="80"/>
            </w:pPr>
            <w:r>
              <w:rPr>
                <w:b/>
                <w:sz w:val="18"/>
              </w:rPr>
              <w:t>Livrable / preuve</w:t>
            </w:r>
          </w:p>
        </w:tc>
      </w:tr>
      <w:tr>
        <w:trPr>
          <w:cantSplit/>
        </w:trPr>
        <w:tc>
          <w:tcPr>
            <w:tcW w:type="dxa" w:w="1800"/>
          </w:tcPr>
          <w:p>
            <w:pPr>
              <w:spacing w:after="80"/>
            </w:pPr>
            <w:r>
              <w:rPr>
                <w:b w:val="0"/>
                <w:sz w:val="18"/>
              </w:rPr>
              <w:t>Semaine 1</w:t>
            </w:r>
          </w:p>
        </w:tc>
        <w:tc>
          <w:tcPr>
            <w:tcW w:type="dxa" w:w="4608"/>
          </w:tcPr>
          <w:p>
            <w:pPr>
              <w:spacing w:after="80"/>
            </w:pPr>
            <w:r>
              <w:rPr>
                <w:b w:val="0"/>
                <w:sz w:val="18"/>
              </w:rPr>
              <w:t>Récupérer sources et consignes ; inventorier les écrans ; organiser GitHub et Trello.</w:t>
            </w:r>
          </w:p>
        </w:tc>
        <w:tc>
          <w:tcPr>
            <w:tcW w:type="dxa" w:w="3816"/>
          </w:tcPr>
          <w:p>
            <w:pPr>
              <w:spacing w:after="80"/>
            </w:pPr>
            <w:r>
              <w:rPr>
                <w:b w:val="0"/>
                <w:sz w:val="18"/>
              </w:rPr>
              <w:t>Inventaire, dépôt partagé et cartes affectées.</w:t>
            </w:r>
          </w:p>
        </w:tc>
      </w:tr>
      <w:tr>
        <w:trPr>
          <w:cantSplit/>
        </w:trPr>
        <w:tc>
          <w:tcPr>
            <w:tcW w:type="dxa" w:w="1800"/>
          </w:tcPr>
          <w:p>
            <w:pPr>
              <w:spacing w:after="80"/>
            </w:pPr>
            <w:r>
              <w:rPr>
                <w:b w:val="0"/>
                <w:sz w:val="18"/>
              </w:rPr>
              <w:t>Semaine 1–2</w:t>
            </w:r>
          </w:p>
        </w:tc>
        <w:tc>
          <w:tcPr>
            <w:tcW w:type="dxa" w:w="4608"/>
          </w:tcPr>
          <w:p>
            <w:pPr>
              <w:spacing w:after="80"/>
            </w:pPr>
            <w:r>
              <w:rPr>
                <w:b w:val="0"/>
                <w:sz w:val="18"/>
              </w:rPr>
              <w:t>Préparer architecture MVC, modèle, SQL, maquettes, droits et recette.</w:t>
            </w:r>
          </w:p>
        </w:tc>
        <w:tc>
          <w:tcPr>
            <w:tcW w:type="dxa" w:w="3816"/>
          </w:tcPr>
          <w:p>
            <w:pPr>
              <w:spacing w:after="80"/>
            </w:pPr>
            <w:r>
              <w:rPr>
                <w:b w:val="0"/>
                <w:sz w:val="18"/>
              </w:rPr>
              <w:t>Dossier technique initial imprimable en fin de semaine 2.</w:t>
            </w:r>
          </w:p>
        </w:tc>
      </w:tr>
      <w:tr>
        <w:trPr>
          <w:cantSplit/>
        </w:trPr>
        <w:tc>
          <w:tcPr>
            <w:tcW w:type="dxa" w:w="1800"/>
          </w:tcPr>
          <w:p>
            <w:pPr>
              <w:spacing w:after="80"/>
            </w:pPr>
            <w:r>
              <w:rPr>
                <w:b w:val="0"/>
                <w:sz w:val="18"/>
              </w:rPr>
              <w:t>Après validation du dossier</w:t>
            </w:r>
          </w:p>
        </w:tc>
        <w:tc>
          <w:tcPr>
            <w:tcW w:type="dxa" w:w="4608"/>
          </w:tcPr>
          <w:p>
            <w:pPr>
              <w:spacing w:after="80"/>
            </w:pPr>
            <w:r>
              <w:rPr>
                <w:b w:val="0"/>
                <w:sz w:val="18"/>
              </w:rPr>
              <w:t>Installer la VM LAMP ; reprendre et comprendre les modules consultation et saisie.</w:t>
            </w:r>
          </w:p>
        </w:tc>
        <w:tc>
          <w:tcPr>
            <w:tcW w:type="dxa" w:w="3816"/>
          </w:tcPr>
          <w:p>
            <w:pPr>
              <w:spacing w:after="80"/>
            </w:pPr>
            <w:r>
              <w:rPr>
                <w:b w:val="0"/>
                <w:sz w:val="18"/>
              </w:rPr>
              <w:t>URL Apache, commits expliqués et contrôles métier.</w:t>
            </w:r>
          </w:p>
        </w:tc>
      </w:tr>
      <w:tr>
        <w:trPr>
          <w:cantSplit/>
        </w:trPr>
        <w:tc>
          <w:tcPr>
            <w:tcW w:type="dxa" w:w="1800"/>
          </w:tcPr>
          <w:p>
            <w:pPr>
              <w:spacing w:after="80"/>
            </w:pPr>
            <w:r>
              <w:rPr>
                <w:b w:val="0"/>
                <w:sz w:val="18"/>
              </w:rPr>
              <w:t>Avant la dernière séance</w:t>
            </w:r>
          </w:p>
        </w:tc>
        <w:tc>
          <w:tcPr>
            <w:tcW w:type="dxa" w:w="4608"/>
          </w:tcPr>
          <w:p>
            <w:pPr>
              <w:spacing w:after="80"/>
            </w:pPr>
            <w:r>
              <w:rPr>
                <w:b w:val="0"/>
                <w:sz w:val="18"/>
              </w:rPr>
              <w:t>Exécuter la recette ; corriger les anomalies ; ajouter les captures et les résultats.</w:t>
            </w:r>
          </w:p>
        </w:tc>
        <w:tc>
          <w:tcPr>
            <w:tcW w:type="dxa" w:w="3816"/>
          </w:tcPr>
          <w:p>
            <w:pPr>
              <w:spacing w:after="80"/>
            </w:pPr>
            <w:r>
              <w:rPr>
                <w:b w:val="0"/>
                <w:sz w:val="18"/>
              </w:rPr>
              <w:t>Cahier de recette exécuté et manuel illustré.</w:t>
            </w:r>
          </w:p>
        </w:tc>
      </w:tr>
      <w:tr>
        <w:trPr>
          <w:cantSplit/>
        </w:trPr>
        <w:tc>
          <w:tcPr>
            <w:tcW w:type="dxa" w:w="1800"/>
          </w:tcPr>
          <w:p>
            <w:pPr>
              <w:spacing w:after="80"/>
            </w:pPr>
            <w:r>
              <w:rPr>
                <w:b w:val="0"/>
                <w:sz w:val="18"/>
              </w:rPr>
              <w:t>Dernière séance</w:t>
            </w:r>
          </w:p>
        </w:tc>
        <w:tc>
          <w:tcPr>
            <w:tcW w:type="dxa" w:w="4608"/>
          </w:tcPr>
          <w:p>
            <w:pPr>
              <w:spacing w:after="80"/>
            </w:pPr>
            <w:r>
              <w:rPr>
                <w:b w:val="0"/>
                <w:sz w:val="18"/>
              </w:rPr>
              <w:t>Démontrer individuellement les parcours et expliquer GitHub et le code.</w:t>
            </w:r>
          </w:p>
        </w:tc>
        <w:tc>
          <w:tcPr>
            <w:tcW w:type="dxa" w:w="3816"/>
          </w:tcPr>
          <w:p>
            <w:pPr>
              <w:spacing w:after="80"/>
            </w:pPr>
            <w:r>
              <w:rPr>
                <w:b w:val="0"/>
                <w:sz w:val="18"/>
              </w:rPr>
              <w:t>Présentation personnelle et dossier final.</w:t>
            </w:r>
          </w:p>
        </w:tc>
      </w:tr>
    </w:tbl>
    <w:p>
      <w:pPr>
        <w:pStyle w:val="Heading1"/>
      </w:pPr>
      <w:r>
        <w:t>2. Organisation du groupe</w:t>
      </w:r>
    </w:p>
    <w:p>
      <w:r>
        <w:t>Groupe 7 : Simon Bouëdec, seul membre. Il est responsable de la consultation et de la saisie des frais, y compris les modèles, vues, contrôleurs et tests associés. Il assure également la documentation, le suivi du projet et la préparation du déploiement. La présentation individuelle porte sur l’ensemble de l’application.</w:t>
      </w:r>
    </w:p>
    <w:p>
      <w:r>
        <w:t>Tableau Trello à créer : listes « À faire », « En cours », « À tester », « Terminé ». Chaque carte porte un responsable, une échéance réelle, une description et une preuve de fin. Aucune création ni invitation Trello n’est attestée à ce stade.</w:t>
      </w:r>
    </w:p>
    <w:p>
      <w:r>
        <w:t>Nom à utiliser pour le dépôt et le tableau : Gr_7_SLAM_[année]_PHP_MVC_Bouedec_Simon. La valeur attendue pour l’année reste à confirmer selon la consigne. Le dépôt actuel ne suit pas encore ce format. Partager selon les coordonnées de la consigne du professeur.</w:t>
      </w:r>
    </w:p>
    <w:p>
      <w:r>
        <w:t>Suivi hebdomadaire : mettre à jour le TAF et transmettre selon la consigne. Dossier final et manuel à déposer dans OneDrive personnel : E6 – Projets AP / Situation 5 – Gestion frais PHP MVC. Le déploiement H02 reste distinct des essais sur la VM.</w:t>
      </w:r>
    </w:p>
    <w:p>
      <w:r>
        <w:br w:type="page"/>
      </w:r>
    </w:p>
    <w:p>
      <w:pPr>
        <w:pStyle w:val="Heading1"/>
      </w:pPr>
      <w:r>
        <w:t>3. Modèle logique des données</w:t>
      </w:r>
    </w:p>
    <w:p>
      <w:r>
        <w:t>Notation : PK = clé primaire ; FK = clé étrangère ; UQ = unicité. Ce MLD décrit le schéma SQL de la version préparée. Les types et contraintes complets figurent dans l’annexe SQL du dossier technique.</w:t>
      </w:r>
    </w:p>
    <w:p>
      <w:pPr>
        <w:pStyle w:val="Heading2"/>
      </w:pPr>
      <w:r>
        <w:t>VISITEUR</w:t>
      </w:r>
    </w:p>
    <w:p>
      <w:r>
        <w:t>id [PK], nom, prenom, login [UQ], mdp, adresse, cp, ville, dateEmbauche.</w:t>
      </w:r>
    </w:p>
    <w:p>
      <w:pPr>
        <w:pStyle w:val="Heading2"/>
      </w:pPr>
      <w:r>
        <w:t>ETAT</w:t>
      </w:r>
    </w:p>
    <w:p>
      <w:r>
        <w:t>id [PK], libelle.</w:t>
      </w:r>
    </w:p>
    <w:p>
      <w:pPr>
        <w:pStyle w:val="Heading2"/>
      </w:pPr>
      <w:r>
        <w:t>FRAISFORFAIT</w:t>
      </w:r>
    </w:p>
    <w:p>
      <w:r>
        <w:t>id [PK], libelle, montant.</w:t>
      </w:r>
    </w:p>
    <w:p>
      <w:pPr>
        <w:pStyle w:val="Heading2"/>
      </w:pPr>
      <w:r>
        <w:t>FICHEFRAIS</w:t>
      </w:r>
    </w:p>
    <w:p>
      <w:r>
        <w:t>(idVisiteur, mois) [PK], nbJustificatifs, montantValide, dateModif, idEtat. FK idVisiteur → VISITEUR(id) ; FK idEtat → ETAT(id).</w:t>
      </w:r>
    </w:p>
    <w:p>
      <w:pPr>
        <w:pStyle w:val="Heading2"/>
      </w:pPr>
      <w:r>
        <w:t>LIGNEFRAISFORFAIT</w:t>
      </w:r>
    </w:p>
    <w:p>
      <w:r>
        <w:t>(idVisiteur, mois, idFraisForfait) [PK], quantite. FK (idVisiteur, mois) → FICHEFRAIS(idVisiteur, mois) ; FK idFraisForfait → FRAISFORFAIT(id).</w:t>
      </w:r>
    </w:p>
    <w:p>
      <w:pPr>
        <w:pStyle w:val="Heading2"/>
      </w:pPr>
      <w:r>
        <w:t>LIGNEFRAISHORSFORFAIT</w:t>
      </w:r>
    </w:p>
    <w:p>
      <w:r>
        <w:t>id [PK, auto-incrément], idVisiteur, mois, libelle, date, montant. FK (idVisiteur, mois) → FICHEFRAIS(idVisiteur, mois).</w:t>
      </w:r>
    </w:p>
    <w:p>
      <w:r>
        <w:t>Règles métier : une seule fiche par visiteur et mois ; un seul forfait de chaque catégorie par fiche ; le mois est codé AAAAMM. Le total déclaré est calculé et n’est pas stocké dans montantValide. Les modifications sont limitées au propriétaire, au mois courant et à l’état CR.</w:t>
      </w:r>
    </w:p>
    <w:p>
      <w:r>
        <w:t>Point de vigilance documentaire : le SQL hérité autorise des valeurs NULL sur certains rattachements (état et ligne hors forfait). Le modèle physique les reflète ; l’application impose leur renseignement lors de ses écritures. Une migration de contraintes demanderait une vérification préalable des données.</w:t>
      </w:r>
    </w:p>
    <w:p>
      <w:r>
        <w:br w:type="page"/>
      </w:r>
    </w:p>
    <w:p>
      <w:pPr>
        <w:pStyle w:val="Heading1"/>
      </w:pPr>
      <w:r>
        <w:t>4. Préparer la campagne de recette</w:t>
      </w:r>
    </w:p>
    <w:p>
      <w:r>
        <w:t>Environnement à renseigner : version Debian, version PHP, version MariaDB, navigateur, URL Apache et commit testé. Utiliser une base dédiée et deux visiteurs distincts (par exemple v001 et v002) ainsi qu’un compte administrateur pour tester la séparation des droits.</w:t>
      </w:r>
    </w:p>
    <w:p>
      <w:r>
        <w:t>Préconditions : serveur accessible, comptes créés, tarifs ETP 110 €, KM 0,62 €, NUI 80 €, REP 25 €. Noter le mois courant de la VM. Pour les essais d’écriture, utiliser une fiche CR de ce mois. Préparer séparément les fiches anciennes et fermées nécessaires aux contrôles.</w:t>
      </w:r>
    </w:p>
    <w:p>
      <w:r>
        <w:t>Résultats déjà consignés dans la préparation : installation Composer, syntaxe PHP, 21 tests métier et recette HTTP avec MariaDB réussis dans GitHub Actions, exécution 35355916018 du 18 septembre 2026. Ces tests automatisés ne prouvent pas le fonctionnement du réseau et d’Apache dans la VM de Simon.</w:t>
      </w:r>
    </w:p>
    <w:p>
      <w:r>
        <w:t>Référence de la preuve automatisée : https://github.com/Bouedec-simon-portfolio/GSB-Projet-1-2TSIO-BDC/actions/runs/35355916018</w:t>
      </w:r>
    </w:p>
    <w:p>
      <w:pPr>
        <w:pStyle w:val="Heading2"/>
      </w:pPr>
      <w:r>
        <w:t>Contrôler les données enregistrées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448"/>
          </w:tcPr>
          <w:p>
            <w:pPr>
              <w:spacing w:after="80"/>
            </w:pPr>
            <w:r>
              <w:rPr>
                <w:b/>
                <w:sz w:val="18"/>
              </w:rPr>
              <w:t>Action</w:t>
            </w:r>
          </w:p>
        </w:tc>
        <w:tc>
          <w:tcPr>
            <w:tcW w:type="dxa" w:w="7776"/>
          </w:tcPr>
          <w:p>
            <w:pPr>
              <w:spacing w:after="80"/>
            </w:pPr>
            <w:r>
              <w:rPr>
                <w:b/>
                <w:sz w:val="18"/>
              </w:rPr>
              <w:t>Vérification attendue dans la base</w:t>
            </w:r>
          </w:p>
        </w:tc>
      </w:tr>
      <w:tr>
        <w:trPr>
          <w:cantSplit/>
        </w:trPr>
        <w:tc>
          <w:tcPr>
            <w:tcW w:type="dxa" w:w="2448"/>
          </w:tcPr>
          <w:p>
            <w:pPr>
              <w:spacing w:after="80"/>
            </w:pPr>
            <w:r>
              <w:rPr>
                <w:b w:val="0"/>
                <w:sz w:val="18"/>
              </w:rPr>
              <w:t>Créer la fiche</w:t>
            </w:r>
          </w:p>
        </w:tc>
        <w:tc>
          <w:tcPr>
            <w:tcW w:type="dxa" w:w="7776"/>
          </w:tcPr>
          <w:p>
            <w:pPr>
              <w:spacing w:after="80"/>
            </w:pPr>
            <w:r>
              <w:rPr>
                <w:b w:val="0"/>
                <w:sz w:val="18"/>
              </w:rPr>
              <w:t>Une ligne FicheFrais pour le couple visiteur/mois ; état CR ; montantValide = 0.</w:t>
            </w:r>
          </w:p>
        </w:tc>
      </w:tr>
      <w:tr>
        <w:trPr>
          <w:cantSplit/>
        </w:trPr>
        <w:tc>
          <w:tcPr>
            <w:tcW w:type="dxa" w:w="2448"/>
          </w:tcPr>
          <w:p>
            <w:pPr>
              <w:spacing w:after="80"/>
            </w:pPr>
            <w:r>
              <w:rPr>
                <w:b w:val="0"/>
                <w:sz w:val="18"/>
              </w:rPr>
              <w:t>Enregistrer les forfaits</w:t>
            </w:r>
          </w:p>
        </w:tc>
        <w:tc>
          <w:tcPr>
            <w:tcW w:type="dxa" w:w="7776"/>
          </w:tcPr>
          <w:p>
            <w:pPr>
              <w:spacing w:after="80"/>
            </w:pPr>
            <w:r>
              <w:rPr>
                <w:b w:val="0"/>
                <w:sz w:val="18"/>
              </w:rPr>
              <w:t>Quantités REP = 2 et KM = 10 ; autres forfaits = 0 ; pas de doublon de clé composée.</w:t>
            </w:r>
          </w:p>
        </w:tc>
      </w:tr>
      <w:tr>
        <w:trPr>
          <w:cantSplit/>
        </w:trPr>
        <w:tc>
          <w:tcPr>
            <w:tcW w:type="dxa" w:w="2448"/>
          </w:tcPr>
          <w:p>
            <w:pPr>
              <w:spacing w:after="80"/>
            </w:pPr>
            <w:r>
              <w:rPr>
                <w:b w:val="0"/>
                <w:sz w:val="18"/>
              </w:rPr>
              <w:t>Ajouter le taxi</w:t>
            </w:r>
          </w:p>
        </w:tc>
        <w:tc>
          <w:tcPr>
            <w:tcW w:type="dxa" w:w="7776"/>
          </w:tcPr>
          <w:p>
            <w:pPr>
              <w:spacing w:after="80"/>
            </w:pPr>
            <w:r>
              <w:rPr>
                <w:b w:val="0"/>
                <w:sz w:val="18"/>
              </w:rPr>
              <w:t>Une ligne hors forfait de 12,50 € rattachée à la bonne fiche.</w:t>
            </w:r>
          </w:p>
        </w:tc>
      </w:tr>
      <w:tr>
        <w:trPr>
          <w:cantSplit/>
        </w:trPr>
        <w:tc>
          <w:tcPr>
            <w:tcW w:type="dxa" w:w="2448"/>
          </w:tcPr>
          <w:p>
            <w:pPr>
              <w:spacing w:after="80"/>
            </w:pPr>
            <w:r>
              <w:rPr>
                <w:b w:val="0"/>
                <w:sz w:val="18"/>
              </w:rPr>
              <w:t>Refuser une saisie invalide</w:t>
            </w:r>
          </w:p>
        </w:tc>
        <w:tc>
          <w:tcPr>
            <w:tcW w:type="dxa" w:w="7776"/>
          </w:tcPr>
          <w:p>
            <w:pPr>
              <w:spacing w:after="80"/>
            </w:pPr>
            <w:r>
              <w:rPr>
                <w:b w:val="0"/>
                <w:sz w:val="18"/>
              </w:rPr>
              <w:t>Aucune ligne nouvelle ni valeur modifiée.</w:t>
            </w:r>
          </w:p>
        </w:tc>
      </w:tr>
      <w:tr>
        <w:trPr>
          <w:cantSplit/>
        </w:trPr>
        <w:tc>
          <w:tcPr>
            <w:tcW w:type="dxa" w:w="2448"/>
          </w:tcPr>
          <w:p>
            <w:pPr>
              <w:spacing w:after="80"/>
            </w:pPr>
            <w:r>
              <w:rPr>
                <w:b w:val="0"/>
                <w:sz w:val="18"/>
              </w:rPr>
              <w:t>Supprimer le taxi</w:t>
            </w:r>
          </w:p>
        </w:tc>
        <w:tc>
          <w:tcPr>
            <w:tcW w:type="dxa" w:w="7776"/>
          </w:tcPr>
          <w:p>
            <w:pPr>
              <w:spacing w:after="80"/>
            </w:pPr>
            <w:r>
              <w:rPr>
                <w:b w:val="0"/>
                <w:sz w:val="18"/>
              </w:rPr>
              <w:t>La ligne visée disparaît ; celles des autres visiteurs sont conservées.</w:t>
            </w:r>
          </w:p>
        </w:tc>
      </w:tr>
    </w:tbl>
    <w:p>
      <w:r>
        <w:t>Dans les requêtes de contrôle, filtrer à la fois idVisiteur et mois. Exemple : SELECT * FROM FicheFrais WHERE idVisiteur = 'v001' AND mois = '202609'; remplacer le mois par celui du test. Appliquer le même filtre à LigneFraisForfait et LigneFraisHorsForfait.</w:t>
      </w:r>
    </w:p>
    <w:p>
      <w:pPr>
        <w:pStyle w:val="Heading2"/>
      </w:pPr>
      <w:r>
        <w:t>Règle de validation</w:t>
      </w:r>
    </w:p>
    <w:p>
      <w:r>
        <w:t>Noter « Réussi » seulement après observation conforme. Sinon, noter « Échec », décrire l’écart, corriger puis refaire le test. Conserver une preuve datée. La campagne est terminée quand les parcours attendus et les contrôles d’accès sont vérifiés sans anomalie bloquante.</w:t>
      </w:r>
    </w:p>
    <w:p>
      <w:r>
        <w:br w:type="page"/>
      </w:r>
    </w:p>
    <w:p>
      <w:pPr>
        <w:pStyle w:val="Heading1"/>
      </w:pPr>
      <w:r>
        <w:t>5. Fiches de recette — T01 à T07</w:t>
      </w:r>
    </w:p>
    <w:p>
      <w:r>
        <w:t>Date : à renseigner • Opérateur : à renseigner • Environnement/commit : à renseigner</w:t>
      </w:r>
    </w:p>
    <w:p>
      <w:pPr>
        <w:pStyle w:val="Heading2"/>
      </w:pPr>
      <w:r>
        <w:t>T01 — Ouvrir /fiches sans connexion</w:t>
      </w:r>
    </w:p>
    <w:p>
      <w:r>
        <w:t>Attendu : Redirection vers la connexion.</w:t>
      </w:r>
    </w:p>
    <w:p>
      <w:r>
        <w:t>Observé : non exécuté sur VM. Résultat : à renseigner. Preuve / anomalie : à joindre.</w:t>
      </w:r>
    </w:p>
    <w:p>
      <w:pPr>
        <w:pStyle w:val="Heading2"/>
      </w:pPr>
      <w:r>
        <w:t>T02 — Mauvais mot de passe puis bon mot de passe</w:t>
      </w:r>
    </w:p>
    <w:p>
      <w:r>
        <w:t>Attendu : Refus puis accès aux fiches.</w:t>
      </w:r>
    </w:p>
    <w:p>
      <w:r>
        <w:t>Observé : non exécuté sur VM. Résultat : à renseigner. Preuve / anomalie : à joindre.</w:t>
      </w:r>
    </w:p>
    <w:p>
      <w:pPr>
        <w:pStyle w:val="Heading2"/>
      </w:pPr>
      <w:r>
        <w:t>T03 — Créer deux fois la fiche du mois</w:t>
      </w:r>
    </w:p>
    <w:p>
      <w:r>
        <w:t>Attendu : Une seule fiche pour le visiteur et le mois.</w:t>
      </w:r>
    </w:p>
    <w:p>
      <w:r>
        <w:t>Observé : non exécuté sur VM. Résultat : à renseigner. Preuve / anomalie : à joindre.</w:t>
      </w:r>
    </w:p>
    <w:p>
      <w:pPr>
        <w:pStyle w:val="Heading2"/>
      </w:pPr>
      <w:r>
        <w:t>T04 — Saisir 2 REP, 10 KM et un taxi à 12,50 €</w:t>
      </w:r>
    </w:p>
    <w:p>
      <w:r>
        <w:t>Attendu : Total déclaré 68,70 € ; montant validé inchangé.</w:t>
      </w:r>
    </w:p>
    <w:p>
      <w:r>
        <w:t>Observé : non exécuté sur VM. Résultat : à renseigner. Preuve / anomalie : à joindre.</w:t>
      </w:r>
    </w:p>
    <w:p>
      <w:pPr>
        <w:pStyle w:val="Heading2"/>
      </w:pPr>
      <w:r>
        <w:t>T05 — Modifier les quantités forfaitaires</w:t>
      </w:r>
    </w:p>
    <w:p>
      <w:r>
        <w:t>Attendu : Valeurs remplacées et total recalculé.</w:t>
      </w:r>
    </w:p>
    <w:p>
      <w:r>
        <w:t>Observé : non exécuté sur VM. Résultat : à renseigner. Preuve / anomalie : à joindre.</w:t>
      </w:r>
    </w:p>
    <w:p>
      <w:pPr>
        <w:pStyle w:val="Heading2"/>
      </w:pPr>
      <w:r>
        <w:t>T06 — Montant négatif, zéro ou trois décimales</w:t>
      </w:r>
    </w:p>
    <w:p>
      <w:r>
        <w:t>Attendu : Refus et aucune insertion.</w:t>
      </w:r>
    </w:p>
    <w:p>
      <w:r>
        <w:t>Observé : non exécuté sur VM. Résultat : à renseigner. Preuve / anomalie : à joindre.</w:t>
      </w:r>
    </w:p>
    <w:p>
      <w:pPr>
        <w:pStyle w:val="Heading2"/>
      </w:pPr>
      <w:r>
        <w:t>T07 — Date inexistante, future ou hors mois</w:t>
      </w:r>
    </w:p>
    <w:p>
      <w:r>
        <w:t>Attendu : Refus et aucune insertion.</w:t>
      </w:r>
    </w:p>
    <w:p>
      <w:r>
        <w:t>Observé : non exécuté sur VM. Résultat : à renseigner. Preuve / anomalie : à joindre.</w:t>
      </w:r>
    </w:p>
    <w:p>
      <w:r>
        <w:br w:type="page"/>
      </w:r>
    </w:p>
    <w:p>
      <w:pPr>
        <w:pStyle w:val="Heading1"/>
      </w:pPr>
      <w:r>
        <w:t>5. Fiches de recette — T08 à T14</w:t>
      </w:r>
    </w:p>
    <w:p>
      <w:r>
        <w:t>Date : à renseigner • Opérateur : à renseigner • Environnement/commit : à renseigner</w:t>
      </w:r>
    </w:p>
    <w:p>
      <w:pPr>
        <w:pStyle w:val="Heading2"/>
      </w:pPr>
      <w:r>
        <w:t>T08 — Libellé vide ou supérieur à 100 caractères</w:t>
      </w:r>
    </w:p>
    <w:p>
      <w:r>
        <w:t>Attendu : Refus côté serveur.</w:t>
      </w:r>
    </w:p>
    <w:p>
      <w:r>
        <w:t>Observé : non exécuté sur VM. Résultat : à renseigner. Preuve / anomalie : à joindre.</w:t>
      </w:r>
    </w:p>
    <w:p>
      <w:pPr>
        <w:pStyle w:val="Heading2"/>
      </w:pPr>
      <w:r>
        <w:t>T09 — Supprimer une ligne appartenant au visiteur</w:t>
      </w:r>
    </w:p>
    <w:p>
      <w:r>
        <w:t>Attendu : Ligne supprimée et total recalculé.</w:t>
      </w:r>
    </w:p>
    <w:p>
      <w:r>
        <w:t>Observé : non exécuté sur VM. Résultat : à renseigner. Preuve / anomalie : à joindre.</w:t>
      </w:r>
    </w:p>
    <w:p>
      <w:pPr>
        <w:pStyle w:val="Heading2"/>
      </w:pPr>
      <w:r>
        <w:t>T10 — Consulter une fiche appartenant à un autre visiteur</w:t>
      </w:r>
    </w:p>
    <w:p>
      <w:r>
        <w:t>Attendu : Aucune donnée de cet autre visiteur.</w:t>
      </w:r>
    </w:p>
    <w:p>
      <w:r>
        <w:t>Observé : non exécuté sur VM. Résultat : à renseigner. Preuve / anomalie : à joindre.</w:t>
      </w:r>
    </w:p>
    <w:p>
      <w:pPr>
        <w:pStyle w:val="Heading2"/>
      </w:pPr>
      <w:r>
        <w:t>T11 — Envoyer un ID de ligne appartenant à un autre visiteur</w:t>
      </w:r>
    </w:p>
    <w:p>
      <w:r>
        <w:t>Attendu : Suppression refusée.</w:t>
      </w:r>
    </w:p>
    <w:p>
      <w:r>
        <w:t>Observé : non exécuté sur VM. Résultat : à renseigner. Preuve / anomalie : à joindre.</w:t>
      </w:r>
    </w:p>
    <w:p>
      <w:pPr>
        <w:pStyle w:val="Heading2"/>
      </w:pPr>
      <w:r>
        <w:t>T12 — Modifier une fiche ancienne, future, CL, VA ou RB</w:t>
      </w:r>
    </w:p>
    <w:p>
      <w:r>
        <w:t>Attendu : Écriture refusée côté serveur.</w:t>
      </w:r>
    </w:p>
    <w:p>
      <w:r>
        <w:t>Observé : non exécuté sur VM. Résultat : à renseigner. Preuve / anomalie : à joindre.</w:t>
      </w:r>
    </w:p>
    <w:p>
      <w:pPr>
        <w:pStyle w:val="Heading2"/>
      </w:pPr>
      <w:r>
        <w:t>T13 — Envoyer un POST sans jeton CSRF valide</w:t>
      </w:r>
    </w:p>
    <w:p>
      <w:r>
        <w:t>Attendu : Aucune modification enregistrée.</w:t>
      </w:r>
    </w:p>
    <w:p>
      <w:r>
        <w:t>Observé : non exécuté sur VM. Résultat : à renseigner. Preuve / anomalie : à joindre.</w:t>
      </w:r>
    </w:p>
    <w:p>
      <w:pPr>
        <w:pStyle w:val="Heading2"/>
      </w:pPr>
      <w:r>
        <w:t>T14 — Saisir un libellé contenant une balise script</w:t>
      </w:r>
    </w:p>
    <w:p>
      <w:r>
        <w:t>Attendu : Texte échappé, aucun script exécuté.</w:t>
      </w:r>
    </w:p>
    <w:p>
      <w:r>
        <w:t>Observé : non exécuté sur VM. Résultat : à renseigner. Preuve / anomalie : à joindre.</w:t>
      </w:r>
    </w:p>
    <w:p>
      <w:r>
        <w:br w:type="page"/>
      </w:r>
    </w:p>
    <w:p>
      <w:pPr>
        <w:pStyle w:val="Heading1"/>
      </w:pPr>
      <w:r>
        <w:t>5. Fiches de recette — T15 à T21</w:t>
      </w:r>
    </w:p>
    <w:p>
      <w:r>
        <w:t>Date : à renseigner • Opérateur : à renseigner • Environnement/commit : à renseigner</w:t>
      </w:r>
    </w:p>
    <w:p>
      <w:pPr>
        <w:pStyle w:val="Heading2"/>
      </w:pPr>
      <w:r>
        <w:t>T15 — Connexion d’un visiteur puis du compte administrateur a00</w:t>
      </w:r>
    </w:p>
    <w:p>
      <w:r>
        <w:t>Attendu : le visiteur arrive sur ses fiches sans lien Administration ; a00 arrive directement sur la liste administrative.</w:t>
      </w:r>
    </w:p>
    <w:p>
      <w:r>
        <w:t>Observé : non exécuté sur VM. Résultat : à renseigner. Preuve / anomalie : à joindre.</w:t>
      </w:r>
    </w:p>
    <w:p>
      <w:pPr>
        <w:pStyle w:val="Heading2"/>
      </w:pPr>
      <w:r>
        <w:t>T16 — Déconnexion puis accès à une ancienne URL</w:t>
      </w:r>
    </w:p>
    <w:p>
      <w:r>
        <w:t>Attendu : Nouvelle connexion exigée.</w:t>
      </w:r>
    </w:p>
    <w:p>
      <w:r>
        <w:t>Observé : non exécuté sur VM. Résultat : à renseigner. Preuve / anomalie : à joindre.</w:t>
      </w:r>
    </w:p>
    <w:p>
      <w:pPr>
        <w:pStyle w:val="Heading2"/>
      </w:pPr>
      <w:r>
        <w:t>T17 — Recharger la page après un enregistrement</w:t>
      </w:r>
    </w:p>
    <w:p>
      <w:r>
        <w:t>Attendu : Pas de nouvel envoi du formulaire POST.</w:t>
      </w:r>
    </w:p>
    <w:p>
      <w:r>
        <w:t>Observé : non exécuté sur VM. Résultat : à renseigner. Preuve / anomalie : à joindre.</w:t>
      </w:r>
    </w:p>
    <w:p>
      <w:pPr>
        <w:pStyle w:val="Heading2"/>
      </w:pPr>
      <w:r>
        <w:t>T18 — Contrôler les tables après chaque modification</w:t>
      </w:r>
    </w:p>
    <w:p>
      <w:r>
        <w:t>Attendu : Correspondance interface et lignes SQL.</w:t>
      </w:r>
    </w:p>
    <w:p>
      <w:r>
        <w:t>Observé : non exécuté sur VM. Résultat : à renseigner. Preuve / anomalie : à joindre.</w:t>
      </w:r>
    </w:p>
    <w:p>
      <w:pPr>
        <w:pStyle w:val="Heading2"/>
      </w:pPr>
      <w:r>
        <w:t>T19 — Ouvrir le site depuis Windows via Apache Debian</w:t>
      </w:r>
    </w:p>
    <w:p>
      <w:r>
        <w:t>Attendu : Connexion sur le port 8080.</w:t>
      </w:r>
    </w:p>
    <w:p>
      <w:r>
        <w:t>Observé : non exécuté sur VM. Résultat : à renseigner. Preuve / anomalie : à joindre.</w:t>
      </w:r>
    </w:p>
    <w:p>
      <w:pPr>
        <w:pStyle w:val="Heading2"/>
      </w:pPr>
      <w:r>
        <w:t>T20 — Demander /.env, /app/ et /database/schema.sql</w:t>
      </w:r>
    </w:p>
    <w:p>
      <w:r>
        <w:t>Attendu : Fichiers privés inaccessibles via HTTP.</w:t>
      </w:r>
    </w:p>
    <w:p>
      <w:r>
        <w:t>Observé : non exécuté sur VM. Résultat : à renseigner. Preuve / anomalie : à joindre.</w:t>
      </w:r>
    </w:p>
    <w:p>
      <w:pPr>
        <w:pStyle w:val="Heading2"/>
      </w:pPr>
      <w:r>
        <w:t>T21 — Redémarrer la VM</w:t>
      </w:r>
    </w:p>
    <w:p>
      <w:r>
        <w:t>Attendu : Services actifs, données conservées.</w:t>
      </w:r>
    </w:p>
    <w:p>
      <w:r>
        <w:t>Observé : non exécuté sur VM. Résultat : à renseigner. Preuve / anomalie : à joindre.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GSB • Situation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