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80"/>
        <w:jc w:val="center"/>
      </w:pPr>
      <w:r>
        <w:rPr>
          <w:rFonts w:ascii="Arial" w:cs="Arial" w:eastAsia="Arial" w:hAnsi="Arial"/>
          <w:b/>
          <w:bCs/>
          <w:color w:val="1B3A5C"/>
          <w:sz w:val="44"/>
          <w:szCs w:val="44"/>
        </w:rPr>
        <w:t xml:space="preserve">PUT CREDIT SPREAD</w:t>
      </w:r>
    </w:p>
    <w:p>
      <w:pPr>
        <w:spacing w:after="40"/>
        <w:jc w:val="center"/>
      </w:pPr>
      <w:r>
        <w:rPr>
          <w:rFonts w:ascii="Arial" w:cs="Arial" w:eastAsia="Arial" w:hAnsi="Arial"/>
          <w:b/>
          <w:bCs/>
          <w:color w:val="1B3A5C"/>
          <w:sz w:val="44"/>
          <w:szCs w:val="44"/>
        </w:rPr>
        <w:t xml:space="preserve">TRADING SYSTEM</w:t>
      </w:r>
    </w:p>
    <w:p>
      <w:pPr>
        <w:pBdr>
          <w:bottom w:val="single" w:color="1B3A5C" w:sz="6" w:space="8"/>
        </w:pBdr>
        <w:spacing w:after="200"/>
        <w:jc w:val="center"/>
      </w:pPr>
      <w:r>
        <w:rPr>
          <w:rFonts w:ascii="Arial" w:cs="Arial" w:eastAsia="Arial" w:hAnsi="Arial"/>
          <w:color w:val="5A7A9A"/>
          <w:sz w:val="24"/>
          <w:szCs w:val="24"/>
        </w:rPr>
        <w:t xml:space="preserve">IBD Big Cap 20  •  Regime-Scaled  •  Defined Risk</w:t>
      </w:r>
    </w:p>
    <w:p>
      <w:pPr>
        <w:spacing w:after="80"/>
      </w:pPr>
    </w:p>
    <w:p>
      <w:pPr>
        <w:pStyle w:val="Heading1"/>
        <w:pBdr>
          <w:bottom w:val="single" w:color="1B3A5C" w:sz="4" w:space="4"/>
        </w:pBdr>
        <w:spacing w:before="360" w:after="200"/>
      </w:pPr>
      <w:r>
        <w:rPr>
          <w:rFonts w:ascii="Arial" w:cs="Arial" w:eastAsia="Arial" w:hAnsi="Arial"/>
          <w:b/>
          <w:bCs/>
          <w:color w:val="1B3A5C"/>
          <w:sz w:val="28"/>
          <w:szCs w:val="28"/>
        </w:rPr>
        <w:t xml:space="preserve">1. Strategy Overview</w:t>
      </w:r>
    </w:p>
    <w:p>
      <w:pPr>
        <w:spacing w:after="120"/>
      </w:pPr>
      <w:r>
        <w:rPr>
          <w:rFonts w:ascii="Arial" w:cs="Arial" w:eastAsia="Arial" w:hAnsi="Arial"/>
          <w:sz w:val="21"/>
          <w:szCs w:val="21"/>
        </w:rPr>
        <w:t xml:space="preserve">This system sells bull put credit spreads on high-quality large-cap growth stocks identified by IBD’s Big Cap 20 list. Position sizing and aggressiveness are dynamically scaled to the current market regime using IBD’s Market Exposure recommendation. The strategy profits when the underlying stock stays above the short strike at expiration, and benefits from time decay and rising prices.</w:t>
      </w:r>
    </w:p>
    <w:p>
      <w:pPr>
        <w:pStyle w:val="Heading1"/>
        <w:pBdr>
          <w:bottom w:val="single" w:color="1B3A5C" w:sz="4" w:space="4"/>
        </w:pBdr>
        <w:spacing w:before="360" w:after="200"/>
      </w:pPr>
      <w:r>
        <w:rPr>
          <w:rFonts w:ascii="Arial" w:cs="Arial" w:eastAsia="Arial" w:hAnsi="Arial"/>
          <w:b/>
          <w:bCs/>
          <w:color w:val="1B3A5C"/>
          <w:sz w:val="28"/>
          <w:szCs w:val="28"/>
        </w:rPr>
        <w:t xml:space="preserve">2. Trade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61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Universe</w:t>
            </w:r>
          </w:p>
        </w:tc>
        <w:tc>
          <w:tcPr>
            <w:tcW w:type="dxa" w:w="61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IBD Big Cap 20, Composite Rating 90+, Acc/Dis A or B</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Strategy</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Bull put credit spread (sell higher strike put, buy lower strike put)</w:t>
            </w:r>
          </w:p>
        </w:tc>
      </w:tr>
      <w:tr>
        <w:tc>
          <w:tcPr>
            <w:tcW w:type="dxa" w:w="3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Days to Expiration</w:t>
            </w:r>
          </w:p>
        </w:tc>
        <w:tc>
          <w:tcPr>
            <w:tcW w:type="dxa" w:w="61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~45 DTE (target 35–50 day range)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Short Put Delta</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25–35 (varies by market regime — see table)</w:t>
            </w:r>
          </w:p>
        </w:tc>
      </w:tr>
      <w:tr>
        <w:tc>
          <w:tcPr>
            <w:tcW w:type="dxa" w:w="3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Spread Width</w:t>
            </w:r>
          </w:p>
        </w:tc>
        <w:tc>
          <w:tcPr>
            <w:tcW w:type="dxa" w:w="61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 of stock price (round to nearest available strike)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Credit Target</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25–35% of spread width</w:t>
            </w:r>
          </w:p>
        </w:tc>
      </w:tr>
      <w:tr>
        <w:tc>
          <w:tcPr>
            <w:tcW w:type="dxa" w:w="3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Earnings Filter</w:t>
            </w:r>
          </w:p>
        </w:tc>
        <w:tc>
          <w:tcPr>
            <w:tcW w:type="dxa" w:w="61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open positions through earnings announcements</w:t>
            </w:r>
          </w:p>
        </w:tc>
      </w:tr>
    </w:tbl>
    <w:p>
      <w:pPr>
        <w:spacing w:after="80"/>
      </w:pPr>
    </w:p>
    <w:p>
      <w:pPr>
        <w:pStyle w:val="Heading2"/>
        <w:spacing w:before="280" w:after="140"/>
      </w:pPr>
      <w:r>
        <w:rPr>
          <w:rFonts w:ascii="Arial" w:cs="Arial" w:eastAsia="Arial" w:hAnsi="Arial"/>
          <w:b/>
          <w:bCs/>
          <w:color w:val="2E5A88"/>
          <w:sz w:val="24"/>
          <w:szCs w:val="24"/>
        </w:rPr>
        <w:t xml:space="preserve">Stock Selection Criteria</w:t>
      </w:r>
    </w:p>
    <w:p>
      <w:pPr>
        <w:pStyle w:val="ListParagraph"/>
        <w:numPr>
          <w:ilvl w:val="0"/>
          <w:numId w:val="2"/>
        </w:numPr>
        <w:spacing w:after="80"/>
      </w:pPr>
      <w:r>
        <w:rPr>
          <w:rFonts w:ascii="Arial" w:cs="Arial" w:eastAsia="Arial" w:hAnsi="Arial"/>
          <w:sz w:val="21"/>
          <w:szCs w:val="21"/>
        </w:rPr>
        <w:t xml:space="preserve">Stock must be on the current IBD Big Cap 20 list</w:t>
      </w:r>
    </w:p>
    <w:p>
      <w:pPr>
        <w:pStyle w:val="ListParagraph"/>
        <w:numPr>
          <w:ilvl w:val="0"/>
          <w:numId w:val="2"/>
        </w:numPr>
        <w:spacing w:after="80"/>
      </w:pPr>
      <w:r>
        <w:rPr>
          <w:rFonts w:ascii="Arial" w:cs="Arial" w:eastAsia="Arial" w:hAnsi="Arial"/>
          <w:sz w:val="21"/>
          <w:szCs w:val="21"/>
        </w:rPr>
        <w:t xml:space="preserve">IBD Composite Rating of 90 or higher</w:t>
      </w:r>
    </w:p>
    <w:p>
      <w:pPr>
        <w:pStyle w:val="ListParagraph"/>
        <w:numPr>
          <w:ilvl w:val="0"/>
          <w:numId w:val="2"/>
        </w:numPr>
        <w:spacing w:after="80"/>
      </w:pPr>
      <w:r>
        <w:rPr>
          <w:rFonts w:ascii="Arial" w:cs="Arial" w:eastAsia="Arial" w:hAnsi="Arial"/>
          <w:sz w:val="21"/>
          <w:szCs w:val="21"/>
        </w:rPr>
        <w:t xml:space="preserve">Accumulation/Distribution Rating of A or B (confirms institutional buying)</w:t>
      </w:r>
    </w:p>
    <w:p>
      <w:pPr>
        <w:pStyle w:val="ListParagraph"/>
        <w:numPr>
          <w:ilvl w:val="0"/>
          <w:numId w:val="2"/>
        </w:numPr>
        <w:spacing w:after="80"/>
      </w:pPr>
      <w:r>
        <w:rPr>
          <w:rFonts w:ascii="Arial" w:cs="Arial" w:eastAsia="Arial" w:hAnsi="Arial"/>
          <w:sz w:val="21"/>
          <w:szCs w:val="21"/>
        </w:rPr>
        <w:t xml:space="preserve">Adequate options liquidity: tight bid/ask spreads and sufficient open interest across strikes</w:t>
      </w:r>
    </w:p>
    <w:p>
      <w:pPr>
        <w:pStyle w:val="ListParagraph"/>
        <w:numPr>
          <w:ilvl w:val="0"/>
          <w:numId w:val="2"/>
        </w:numPr>
        <w:spacing w:after="80"/>
      </w:pPr>
      <w:r>
        <w:rPr>
          <w:rFonts w:ascii="Arial" w:cs="Arial" w:eastAsia="Arial" w:hAnsi="Arial"/>
          <w:sz w:val="21"/>
          <w:szCs w:val="21"/>
        </w:rPr>
        <w:t xml:space="preserve">No earnings report within the 45-day trade window</w:t>
      </w:r>
    </w:p>
    <w:p>
      <w:pPr>
        <w:pStyle w:val="Heading1"/>
        <w:pBdr>
          <w:bottom w:val="single" w:color="1B3A5C" w:sz="4" w:space="4"/>
        </w:pBdr>
        <w:spacing w:before="360" w:after="200"/>
      </w:pPr>
      <w:r>
        <w:rPr>
          <w:rFonts w:ascii="Arial" w:cs="Arial" w:eastAsia="Arial" w:hAnsi="Arial"/>
          <w:b/>
          <w:bCs/>
          <w:color w:val="1B3A5C"/>
          <w:sz w:val="28"/>
          <w:szCs w:val="28"/>
        </w:rPr>
        <w:t xml:space="preserve">3. Market Regime Scaling</w:t>
      </w:r>
    </w:p>
    <w:p>
      <w:pPr>
        <w:spacing w:after="120"/>
      </w:pPr>
      <w:r>
        <w:rPr>
          <w:rFonts w:ascii="Arial" w:cs="Arial" w:eastAsia="Arial" w:hAnsi="Arial"/>
          <w:sz w:val="21"/>
          <w:szCs w:val="21"/>
        </w:rPr>
        <w:t xml:space="preserve">The IBD Market Exposure recommendation (published daily in The Big Picture) determines how aggressively the system deploys capital. This five-tier scale is based on IBD’s Market School methodology, which uses buy and sell signals derived from index behavior around the 21 EMA, 50 MA, and 200 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500"/>
        <w:gridCol w:w="2360"/>
        <w:gridCol w:w="2400"/>
      </w:tblGrid>
      <w:tr>
        <w:tc>
          <w:tcPr>
            <w:tcW w:type="dxa" w:w="17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IBD Exposure</w:t>
            </w:r>
          </w:p>
        </w:tc>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Short Put Delta</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Allocation</w:t>
            </w:r>
          </w:p>
        </w:tc>
        <w:tc>
          <w:tcPr>
            <w:tcW w:type="dxa" w:w="2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Take Profit Target</w:t>
            </w:r>
          </w:p>
        </w:tc>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Max Portfolio Risk</w:t>
            </w:r>
          </w:p>
        </w:tc>
      </w:tr>
      <w:tr>
        <w:tc>
          <w:tcPr>
            <w:tcW w:type="dxa" w:w="17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80–100%</w:t>
            </w:r>
          </w:p>
        </w:tc>
        <w:tc>
          <w:tcPr>
            <w:tcW w:type="dxa" w:w="1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33–35</w:t>
            </w:r>
          </w:p>
        </w:tc>
        <w:tc>
          <w:tcPr>
            <w:tcW w:type="dxa" w:w="15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Full</w:t>
            </w:r>
          </w:p>
        </w:tc>
        <w:tc>
          <w:tcPr>
            <w:tcW w:type="dxa" w:w="23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50–75% (sliding)</w:t>
            </w:r>
          </w:p>
        </w:tc>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Up to 20–25%</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sz w:val="20"/>
                <w:szCs w:val="20"/>
              </w:rPr>
              <w:t xml:space="preserve">60–80%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30–33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Moderate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50–75% (sliding)</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Up to 15%</w:t>
            </w:r>
          </w:p>
        </w:tc>
      </w:tr>
      <w:tr>
        <w:tc>
          <w:tcPr>
            <w:tcW w:type="dxa" w:w="17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40–60%</w:t>
            </w:r>
          </w:p>
        </w:tc>
        <w:tc>
          <w:tcPr>
            <w:tcW w:type="dxa" w:w="1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27–30</w:t>
            </w:r>
          </w:p>
        </w:tc>
        <w:tc>
          <w:tcPr>
            <w:tcW w:type="dxa" w:w="15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Cautious</w:t>
            </w:r>
          </w:p>
        </w:tc>
        <w:tc>
          <w:tcPr>
            <w:tcW w:type="dxa" w:w="23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50%</w:t>
            </w:r>
          </w:p>
        </w:tc>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Up to 10%</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sz w:val="20"/>
                <w:szCs w:val="20"/>
              </w:rPr>
              <w:t xml:space="preserve">20–40%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25–27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Very Light</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Up to 5%</w:t>
            </w:r>
          </w:p>
        </w:tc>
      </w:tr>
      <w:tr>
        <w:tc>
          <w:tcPr>
            <w:tcW w:type="dxa" w:w="17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0–20%</w:t>
            </w:r>
          </w:p>
        </w:tc>
        <w:tc>
          <w:tcPr>
            <w:tcW w:type="dxa" w:w="1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t>
            </w:r>
          </w:p>
        </w:tc>
        <w:tc>
          <w:tcPr>
            <w:tcW w:type="dxa" w:w="15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None</w:t>
            </w:r>
          </w:p>
        </w:tc>
        <w:tc>
          <w:tcPr>
            <w:tcW w:type="dxa" w:w="23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Manage existing only</w:t>
            </w:r>
          </w:p>
        </w:tc>
        <w:tc>
          <w:tcPr>
            <w:tcW w:type="dxa" w:w="24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 new risk</w:t>
            </w:r>
          </w:p>
        </w:tc>
      </w:tr>
    </w:tbl>
    <w:p>
      <w:pPr>
        <w:spacing w:after="80"/>
      </w:pPr>
    </w:p>
    <w:p>
      <w:pPr>
        <w:pStyle w:val="Heading2"/>
        <w:spacing w:before="280" w:after="140"/>
      </w:pPr>
      <w:r>
        <w:rPr>
          <w:rFonts w:ascii="Arial" w:cs="Arial" w:eastAsia="Arial" w:hAnsi="Arial"/>
          <w:b/>
          <w:bCs/>
          <w:color w:val="2E5A88"/>
          <w:sz w:val="24"/>
          <w:szCs w:val="24"/>
        </w:rPr>
        <w:t xml:space="preserve">Regime Transition Rules</w:t>
      </w:r>
    </w:p>
    <w:p>
      <w:pPr>
        <w:pStyle w:val="ListParagraph"/>
        <w:numPr>
          <w:ilvl w:val="0"/>
          <w:numId w:val="3"/>
        </w:numPr>
        <w:spacing w:after="80"/>
      </w:pPr>
      <w:r>
        <w:rPr>
          <w:rFonts w:ascii="Arial" w:cs="Arial" w:eastAsia="Arial" w:hAnsi="Arial"/>
          <w:sz w:val="21"/>
          <w:szCs w:val="21"/>
        </w:rPr>
        <w:t xml:space="preserve">When exposure is rising or stable: use the delta and profit targets corresponding to the current tier.</w:t>
      </w:r>
    </w:p>
    <w:p>
      <w:pPr>
        <w:pStyle w:val="ListParagraph"/>
        <w:numPr>
          <w:ilvl w:val="0"/>
          <w:numId w:val="3"/>
        </w:numPr>
        <w:spacing w:after="80"/>
      </w:pPr>
      <w:r>
        <w:rPr>
          <w:rFonts w:ascii="Arial" w:cs="Arial" w:eastAsia="Arial" w:hAnsi="Arial"/>
          <w:sz w:val="21"/>
          <w:szCs w:val="21"/>
        </w:rPr>
        <w:t xml:space="preserve">When exposure is actively declining: tighten take-profit to 50% on all open positions and stop opening new trades until the level stabilizes.</w:t>
      </w:r>
    </w:p>
    <w:p>
      <w:pPr>
        <w:pStyle w:val="ListParagraph"/>
        <w:numPr>
          <w:ilvl w:val="0"/>
          <w:numId w:val="3"/>
        </w:numPr>
        <w:spacing w:after="80"/>
      </w:pPr>
      <w:r>
        <w:rPr>
          <w:rFonts w:ascii="Arial" w:cs="Arial" w:eastAsia="Arial" w:hAnsi="Arial"/>
          <w:sz w:val="21"/>
          <w:szCs w:val="21"/>
        </w:rPr>
        <w:t xml:space="preserve">Do not close profitable existing positions solely because the gauge dropped a tier. Only close if trade management rules are triggered.</w:t>
      </w:r>
    </w:p>
    <w:p>
      <w:pPr>
        <w:pStyle w:val="ListParagraph"/>
        <w:numPr>
          <w:ilvl w:val="0"/>
          <w:numId w:val="3"/>
        </w:numPr>
        <w:spacing w:after="80"/>
      </w:pPr>
      <w:r>
        <w:rPr>
          <w:rFonts w:ascii="Arial" w:cs="Arial" w:eastAsia="Arial" w:hAnsi="Arial"/>
          <w:sz w:val="21"/>
          <w:szCs w:val="21"/>
        </w:rPr>
        <w:t xml:space="preserve">At 0–20% exposure: no new trades. Manage all existing positions to close as quickly as practical.</w:t>
      </w:r>
    </w:p>
    <w:p>
      <w:r>
        <w:br w:type="page"/>
      </w:r>
    </w:p>
    <w:p>
      <w:pPr>
        <w:pStyle w:val="Heading1"/>
        <w:pBdr>
          <w:bottom w:val="single" w:color="1B3A5C" w:sz="4" w:space="4"/>
        </w:pBdr>
        <w:spacing w:before="360" w:after="200"/>
      </w:pPr>
      <w:r>
        <w:rPr>
          <w:rFonts w:ascii="Arial" w:cs="Arial" w:eastAsia="Arial" w:hAnsi="Arial"/>
          <w:b/>
          <w:bCs/>
          <w:color w:val="1B3A5C"/>
          <w:sz w:val="28"/>
          <w:szCs w:val="28"/>
        </w:rPr>
        <w:t xml:space="preserve">4. Trade Management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Rule</w:t>
            </w:r>
          </w:p>
        </w:tc>
        <w:tc>
          <w:tcPr>
            <w:tcW w:type="dxa" w:w="61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Details</w:t>
            </w:r>
          </w:p>
        </w:tc>
      </w:tr>
      <w:tr>
        <w:tc>
          <w:tcPr>
            <w:tcW w:type="dxa" w:w="3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Profit Target</w:t>
            </w:r>
          </w:p>
        </w:tc>
        <w:tc>
          <w:tcPr>
            <w:tcW w:type="dxa" w:w="61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50–75% of max profit (sliding scale: take 50% if hit in first 22 days; let run toward 75% after that). Fixed at 50% when regime is declining.</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Loss Limit</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Close if spread value reaches 2x the credit received</w:t>
            </w:r>
          </w:p>
        </w:tc>
      </w:tr>
      <w:tr>
        <w:tc>
          <w:tcPr>
            <w:tcW w:type="dxa" w:w="3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Caution Trigger</w:t>
            </w:r>
          </w:p>
        </w:tc>
        <w:tc>
          <w:tcPr>
            <w:tcW w:type="dxa" w:w="61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Stock closes below short strike for 2 consecutive days — evaluate for close or tighten management</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Time Stop</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Close or roll at ~21 DTE if profit target not yet hit</w:t>
            </w:r>
          </w:p>
        </w:tc>
      </w:tr>
      <w:tr>
        <w:tc>
          <w:tcPr>
            <w:tcW w:type="dxa" w:w="320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Regime Downshift</w:t>
            </w:r>
          </w:p>
        </w:tc>
        <w:tc>
          <w:tcPr>
            <w:tcW w:type="dxa" w:w="6160"/>
            <w:tcBorders>
              <w:top w:val="single" w:color="999999" w:sz="1"/>
              <w:left w:val="single" w:color="999999" w:sz="1"/>
              <w:bottom w:val="single" w:color="999999" w:sz="1"/>
              <w:right w:val="single" w:color="999999" w:sz="1"/>
            </w:tcBorders>
            <w:shd w:fill="EDF2F7"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When IBD exposure is actively declining: lower profit target to 50%, stop opening new positions until exposure stabilizes</w:t>
            </w:r>
          </w:p>
        </w:tc>
      </w:tr>
    </w:tbl>
    <w:p>
      <w:pPr>
        <w:pStyle w:val="Heading1"/>
        <w:pBdr>
          <w:bottom w:val="single" w:color="1B3A5C" w:sz="4" w:space="4"/>
        </w:pBdr>
        <w:spacing w:before="360" w:after="200"/>
      </w:pPr>
      <w:r>
        <w:rPr>
          <w:rFonts w:ascii="Arial" w:cs="Arial" w:eastAsia="Arial" w:hAnsi="Arial"/>
          <w:b/>
          <w:bCs/>
          <w:color w:val="1B3A5C"/>
          <w:sz w:val="28"/>
          <w:szCs w:val="28"/>
        </w:rPr>
        <w:t xml:space="preserve">5. Position Sizing</w:t>
      </w:r>
    </w:p>
    <w:p>
      <w:pPr>
        <w:spacing w:after="120"/>
      </w:pPr>
      <w:r>
        <w:rPr>
          <w:rFonts w:ascii="Arial" w:cs="Arial" w:eastAsia="Arial" w:hAnsi="Arial"/>
          <w:sz w:val="21"/>
          <w:szCs w:val="21"/>
        </w:rPr>
        <w:t xml:space="preserve">Maximum portfolio risk from all open credit spread positions is governed by the market regime table above. Within that envelope:</w:t>
      </w:r>
    </w:p>
    <w:p>
      <w:pPr>
        <w:pStyle w:val="ListParagraph"/>
        <w:numPr>
          <w:ilvl w:val="0"/>
          <w:numId w:val="4"/>
        </w:numPr>
        <w:spacing w:after="80"/>
      </w:pPr>
      <w:r>
        <w:rPr>
          <w:rFonts w:ascii="Arial" w:cs="Arial" w:eastAsia="Arial" w:hAnsi="Arial"/>
          <w:sz w:val="21"/>
          <w:szCs w:val="21"/>
        </w:rPr>
        <w:t xml:space="preserve">No single position should risk more than 2–5% of total account value at maximum loss.</w:t>
      </w:r>
    </w:p>
    <w:p>
      <w:pPr>
        <w:pStyle w:val="ListParagraph"/>
        <w:numPr>
          <w:ilvl w:val="0"/>
          <w:numId w:val="4"/>
        </w:numPr>
        <w:spacing w:after="80"/>
      </w:pPr>
      <w:r>
        <w:rPr>
          <w:rFonts w:ascii="Arial" w:cs="Arial" w:eastAsia="Arial" w:hAnsi="Arial"/>
          <w:sz w:val="21"/>
          <w:szCs w:val="21"/>
        </w:rPr>
        <w:t xml:space="preserve">Maximum loss per position = spread width minus credit received, multiplied by number of contracts.</w:t>
      </w:r>
    </w:p>
    <w:p>
      <w:pPr>
        <w:pStyle w:val="ListParagraph"/>
        <w:numPr>
          <w:ilvl w:val="0"/>
          <w:numId w:val="4"/>
        </w:numPr>
        <w:spacing w:after="80"/>
      </w:pPr>
      <w:r>
        <w:rPr>
          <w:rFonts w:ascii="Arial" w:cs="Arial" w:eastAsia="Arial" w:hAnsi="Arial"/>
          <w:sz w:val="21"/>
          <w:szCs w:val="21"/>
        </w:rPr>
        <w:t xml:space="preserve">When calculating total portfolio risk, sum the max loss of all open positions and ensure it stays within the regime limit.</w:t>
      </w:r>
    </w:p>
    <w:p>
      <w:pPr>
        <w:pStyle w:val="ListParagraph"/>
        <w:numPr>
          <w:ilvl w:val="0"/>
          <w:numId w:val="4"/>
        </w:numPr>
        <w:spacing w:after="80"/>
      </w:pPr>
      <w:r>
        <w:rPr>
          <w:rFonts w:ascii="Arial" w:cs="Arial" w:eastAsia="Arial" w:hAnsi="Arial"/>
          <w:sz w:val="21"/>
          <w:szCs w:val="21"/>
        </w:rPr>
        <w:t xml:space="preserve">If adding a new position would exceed the regime’s portfolio risk cap, reduce the number of contracts or skip the trade.</w:t>
      </w:r>
    </w:p>
    <w:p>
      <w:pPr>
        <w:pStyle w:val="Heading1"/>
        <w:pBdr>
          <w:bottom w:val="single" w:color="1B3A5C" w:sz="4" w:space="4"/>
        </w:pBdr>
        <w:spacing w:before="360" w:after="200"/>
      </w:pPr>
      <w:r>
        <w:rPr>
          <w:rFonts w:ascii="Arial" w:cs="Arial" w:eastAsia="Arial" w:hAnsi="Arial"/>
          <w:b/>
          <w:bCs/>
          <w:color w:val="1B3A5C"/>
          <w:sz w:val="28"/>
          <w:szCs w:val="28"/>
        </w:rPr>
        <w:t xml:space="preserve">6. Trade Entry Workflow</w:t>
      </w:r>
    </w:p>
    <w:p>
      <w:pPr>
        <w:pStyle w:val="ListParagraph"/>
        <w:numPr>
          <w:ilvl w:val="0"/>
          <w:numId w:val="5"/>
        </w:numPr>
        <w:spacing w:after="80"/>
      </w:pPr>
      <w:r>
        <w:rPr>
          <w:rFonts w:ascii="Arial" w:cs="Arial" w:eastAsia="Arial" w:hAnsi="Arial"/>
          <w:sz w:val="21"/>
          <w:szCs w:val="21"/>
        </w:rPr>
        <w:t xml:space="preserve">Check IBD Market Exposure level. Determine current regime tier and corresponding delta range.</w:t>
      </w:r>
    </w:p>
    <w:p>
      <w:pPr>
        <w:pStyle w:val="ListParagraph"/>
        <w:numPr>
          <w:ilvl w:val="0"/>
          <w:numId w:val="5"/>
        </w:numPr>
        <w:spacing w:after="80"/>
      </w:pPr>
      <w:r>
        <w:rPr>
          <w:rFonts w:ascii="Arial" w:cs="Arial" w:eastAsia="Arial" w:hAnsi="Arial"/>
          <w:sz w:val="21"/>
          <w:szCs w:val="21"/>
        </w:rPr>
        <w:t xml:space="preserve">Review IBD Big Cap 20 list. Filter for Composite Rating ≥ 90 and Acc/Dis rating of A or B.</w:t>
      </w:r>
    </w:p>
    <w:p>
      <w:pPr>
        <w:pStyle w:val="ListParagraph"/>
        <w:numPr>
          <w:ilvl w:val="0"/>
          <w:numId w:val="5"/>
        </w:numPr>
        <w:spacing w:after="80"/>
      </w:pPr>
      <w:r>
        <w:rPr>
          <w:rFonts w:ascii="Arial" w:cs="Arial" w:eastAsia="Arial" w:hAnsi="Arial"/>
          <w:sz w:val="21"/>
          <w:szCs w:val="21"/>
        </w:rPr>
        <w:t xml:space="preserve">Confirm no earnings within 45 days. Check earnings calendar for each candidate.</w:t>
      </w:r>
    </w:p>
    <w:p>
      <w:pPr>
        <w:pStyle w:val="ListParagraph"/>
        <w:numPr>
          <w:ilvl w:val="0"/>
          <w:numId w:val="5"/>
        </w:numPr>
        <w:spacing w:after="80"/>
      </w:pPr>
      <w:r>
        <w:rPr>
          <w:rFonts w:ascii="Arial" w:cs="Arial" w:eastAsia="Arial" w:hAnsi="Arial"/>
          <w:sz w:val="21"/>
          <w:szCs w:val="21"/>
        </w:rPr>
        <w:t xml:space="preserve">Verify options liquidity. Look for tight bid/ask spreads and adequate open interest.</w:t>
      </w:r>
    </w:p>
    <w:p>
      <w:pPr>
        <w:pStyle w:val="ListParagraph"/>
        <w:numPr>
          <w:ilvl w:val="0"/>
          <w:numId w:val="5"/>
        </w:numPr>
        <w:spacing w:after="80"/>
      </w:pPr>
      <w:r>
        <w:rPr>
          <w:rFonts w:ascii="Arial" w:cs="Arial" w:eastAsia="Arial" w:hAnsi="Arial"/>
          <w:sz w:val="21"/>
          <w:szCs w:val="21"/>
        </w:rPr>
        <w:t xml:space="preserve">Select the short put at the target delta for the current regime. Set the long put ~3% of stock price below.</w:t>
      </w:r>
    </w:p>
    <w:p>
      <w:pPr>
        <w:pStyle w:val="ListParagraph"/>
        <w:numPr>
          <w:ilvl w:val="0"/>
          <w:numId w:val="5"/>
        </w:numPr>
        <w:spacing w:after="80"/>
      </w:pPr>
      <w:r>
        <w:rPr>
          <w:rFonts w:ascii="Arial" w:cs="Arial" w:eastAsia="Arial" w:hAnsi="Arial"/>
          <w:sz w:val="21"/>
          <w:szCs w:val="21"/>
        </w:rPr>
        <w:t xml:space="preserve">Verify credit is 25–35% of the spread width. If below 25%, narrow the spread or skip. If above 35%, investigate why IV is elevated.</w:t>
      </w:r>
    </w:p>
    <w:p>
      <w:pPr>
        <w:pStyle w:val="ListParagraph"/>
        <w:numPr>
          <w:ilvl w:val="0"/>
          <w:numId w:val="5"/>
        </w:numPr>
        <w:spacing w:after="80"/>
      </w:pPr>
      <w:r>
        <w:rPr>
          <w:rFonts w:ascii="Arial" w:cs="Arial" w:eastAsia="Arial" w:hAnsi="Arial"/>
          <w:sz w:val="21"/>
          <w:szCs w:val="21"/>
        </w:rPr>
        <w:t xml:space="preserve">Confirm position sizing. Max loss of this trade plus all open positions must stay within the regime’s portfolio risk cap.</w:t>
      </w:r>
    </w:p>
    <w:p>
      <w:pPr>
        <w:pStyle w:val="ListParagraph"/>
        <w:numPr>
          <w:ilvl w:val="0"/>
          <w:numId w:val="5"/>
        </w:numPr>
        <w:spacing w:after="80"/>
      </w:pPr>
      <w:r>
        <w:rPr>
          <w:rFonts w:ascii="Arial" w:cs="Arial" w:eastAsia="Arial" w:hAnsi="Arial"/>
          <w:sz w:val="21"/>
          <w:szCs w:val="21"/>
        </w:rPr>
        <w:t xml:space="preserve">Enter the trade. Record entry date, strikes, credit received, max loss, and management targets.</w:t>
      </w:r>
    </w:p>
    <w:p>
      <w:pPr>
        <w:pStyle w:val="Heading1"/>
        <w:pBdr>
          <w:bottom w:val="single" w:color="1B3A5C" w:sz="4" w:space="4"/>
        </w:pBdr>
        <w:spacing w:before="360" w:after="200"/>
      </w:pPr>
      <w:r>
        <w:rPr>
          <w:rFonts w:ascii="Arial" w:cs="Arial" w:eastAsia="Arial" w:hAnsi="Arial"/>
          <w:b/>
          <w:bCs/>
          <w:color w:val="1B3A5C"/>
          <w:sz w:val="28"/>
          <w:szCs w:val="28"/>
        </w:rPr>
        <w:t xml:space="preserve">7. Key Reminders</w:t>
      </w:r>
    </w:p>
    <w:p>
      <w:pPr>
        <w:pStyle w:val="ListParagraph"/>
        <w:numPr>
          <w:ilvl w:val="0"/>
          <w:numId w:val="6"/>
        </w:numPr>
        <w:spacing w:after="80"/>
      </w:pPr>
      <w:r>
        <w:rPr>
          <w:rFonts w:ascii="Arial" w:cs="Arial" w:eastAsia="Arial" w:hAnsi="Arial"/>
          <w:sz w:val="21"/>
          <w:szCs w:val="21"/>
        </w:rPr>
        <w:t xml:space="preserve">75% of stocks follow the general market direction. Trading with the trend is essential.</w:t>
      </w:r>
    </w:p>
    <w:p>
      <w:pPr>
        <w:pStyle w:val="ListParagraph"/>
        <w:numPr>
          <w:ilvl w:val="0"/>
          <w:numId w:val="6"/>
        </w:numPr>
        <w:spacing w:after="80"/>
      </w:pPr>
      <w:r>
        <w:rPr>
          <w:rFonts w:ascii="Arial" w:cs="Arial" w:eastAsia="Arial" w:hAnsi="Arial"/>
          <w:sz w:val="21"/>
          <w:szCs w:val="21"/>
        </w:rPr>
        <w:t xml:space="preserve">The IBD exposure model is reactive, not predictive. It will lag at turning points.</w:t>
      </w:r>
    </w:p>
    <w:p>
      <w:pPr>
        <w:pStyle w:val="ListParagraph"/>
        <w:numPr>
          <w:ilvl w:val="0"/>
          <w:numId w:val="6"/>
        </w:numPr>
        <w:spacing w:after="80"/>
      </w:pPr>
      <w:r>
        <w:rPr>
          <w:rFonts w:ascii="Arial" w:cs="Arial" w:eastAsia="Arial" w:hAnsi="Arial"/>
          <w:sz w:val="21"/>
          <w:szCs w:val="21"/>
        </w:rPr>
        <w:t xml:space="preserve">Strong Big Cap 20 stocks can still decline sharply during broad market corrections. The regime scale protects against overexposure during these periods.</w:t>
      </w:r>
    </w:p>
    <w:p>
      <w:pPr>
        <w:pStyle w:val="ListParagraph"/>
        <w:numPr>
          <w:ilvl w:val="0"/>
          <w:numId w:val="6"/>
        </w:numPr>
        <w:spacing w:after="80"/>
      </w:pPr>
      <w:r>
        <w:rPr>
          <w:rFonts w:ascii="Arial" w:cs="Arial" w:eastAsia="Arial" w:hAnsi="Arial"/>
          <w:sz w:val="21"/>
          <w:szCs w:val="21"/>
        </w:rPr>
        <w:t xml:space="preserve">Credit-to-width ratio is your quality filter. A trade that doesn’t meet the 25–35% threshold is a trade to skip, regardless of how good the stock looks.</w:t>
      </w:r>
    </w:p>
    <w:p>
      <w:pPr>
        <w:pStyle w:val="ListParagraph"/>
        <w:numPr>
          <w:ilvl w:val="0"/>
          <w:numId w:val="6"/>
        </w:numPr>
        <w:spacing w:after="80"/>
      </w:pPr>
      <w:r>
        <w:rPr>
          <w:rFonts w:ascii="Arial" w:cs="Arial" w:eastAsia="Arial" w:hAnsi="Arial"/>
          <w:sz w:val="21"/>
          <w:szCs w:val="21"/>
        </w:rPr>
        <w:t xml:space="preserve">Gamma risk accelerates in the final 21 days. The time stop exists for a reason — respect it.</w:t>
      </w:r>
    </w:p>
    <w:p>
      <w:pPr>
        <w:pStyle w:val="ListParagraph"/>
        <w:numPr>
          <w:ilvl w:val="0"/>
          <w:numId w:val="6"/>
        </w:numPr>
        <w:spacing w:after="80"/>
      </w:pPr>
      <w:r>
        <w:rPr>
          <w:rFonts w:ascii="Arial" w:cs="Arial" w:eastAsia="Arial" w:hAnsi="Arial"/>
          <w:sz w:val="21"/>
          <w:szCs w:val="21"/>
        </w:rPr>
        <w:t xml:space="preserve">Review and update this system periodically. Track your win rate, average profit, average loss, and compare to expected values.</w:t>
      </w:r>
    </w:p>
    <w:p>
      <w:pPr>
        <w:spacing w:after="200"/>
      </w:pPr>
    </w:p>
    <w:p>
      <w:pPr>
        <w:pBdr>
          <w:top w:val="single" w:color="CCCCCC" w:sz="1" w:space="8"/>
        </w:pBdr>
        <w:spacing w:before="200" w:after="80"/>
      </w:pPr>
      <w:r>
        <w:rPr>
          <w:rFonts w:ascii="Arial" w:cs="Arial" w:eastAsia="Arial" w:hAnsi="Arial"/>
          <w:b/>
          <w:bCs/>
          <w:i/>
          <w:iCs/>
          <w:color w:val="888888"/>
          <w:sz w:val="18"/>
          <w:szCs w:val="18"/>
        </w:rPr>
        <w:t xml:space="preserve">Disclaimer: </w:t>
      </w:r>
      <w:r>
        <w:rPr>
          <w:rFonts w:ascii="Arial" w:cs="Arial" w:eastAsia="Arial" w:hAnsi="Arial"/>
          <w:i/>
          <w:iCs/>
          <w:color w:val="888888"/>
          <w:sz w:val="18"/>
          <w:szCs w:val="18"/>
        </w:rPr>
        <w:t xml:space="preserve">This document is a personal trading plan for reference purposes only. It does not constitute investment advice. Options trading involves substantial risk of loss and is not suitable for all investors. Past performance of IBD lists or the Market Exposure model does not guarantee future results.</w:t>
      </w:r>
    </w:p>
    <w:p>
      <w:pPr>
        <w:spacing w:after="0"/>
        <w:jc w:val="right"/>
      </w:pPr>
      <w:r>
        <w:rPr>
          <w:rFonts w:ascii="Arial" w:cs="Arial" w:eastAsia="Arial" w:hAnsi="Arial"/>
          <w:i/>
          <w:iCs/>
          <w:color w:val="AAAAAA"/>
          <w:sz w:val="18"/>
          <w:szCs w:val="18"/>
        </w:rPr>
        <w:t xml:space="preserve">Document prepared: February 2026</w:t>
      </w:r>
    </w:p>
    <w:sectPr>
      <w:headerReference w:type="default" r:id="rId6"/>
      <w:footerReference w:type="default" r:id="rId7"/>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Put Credit Spread Strategy  |  Strategy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40"/>
      <w:outlineLvl w:val="1"/>
    </w:pPr>
    <w:rPr>
      <w:rFonts w:ascii="Arial" w:cs="Arial" w:eastAsia="Arial" w:hAnsi="Arial"/>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2026-02-18T15:47:38.975Z</dcterms:created>
  <dcterms:modified xsi:type="dcterms:W3CDTF">2026-02-18T15:47:38.975Z</dcterms:modified>
</cp:coreProperties>
</file>

<file path=docProps/custom.xml><?xml version="1.0" encoding="utf-8"?>
<Properties xmlns="http://schemas.openxmlformats.org/officeDocument/2006/custom-properties" xmlns:vt="http://schemas.openxmlformats.org/officeDocument/2006/docPropsVTypes"/>
</file>