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Assistant documentaire intelligent</w:t>
      </w:r>
    </w:p>
    <w:p>
      <w:pPr>
        <w:spacing w:after="40"/>
      </w:pPr>
      <w:r>
        <w:rPr>
          <w:color w:val="555555"/>
          <w:sz w:val="28"/>
          <w:szCs w:val="28"/>
        </w:rPr>
        <w:t xml:space="preserve">Présentation de la solution</w:t>
      </w:r>
    </w:p>
    <w:p>
      <w:pPr>
        <w:spacing w:after="240"/>
      </w:pPr>
      <w:r>
        <w:rPr>
          <w:i/>
          <w:iCs/>
          <w:color w:val="888888"/>
        </w:rPr>
        <w:t xml:space="preserve">Document technique — 17 septembre 2026</w:t>
      </w:r>
    </w:p>
    <w:p>
      <w:pPr>
        <w:pStyle w:val="Heading1"/>
        <w:spacing w:after="120" w:before="240"/>
      </w:pPr>
      <w:r>
        <w:t xml:space="preserve">Introduction</w:t>
      </w:r>
    </w:p>
    <w:p>
      <w:pPr>
        <w:spacing w:after="120"/>
      </w:pPr>
      <w:r>
        <w:t xml:space="preserve">Cette solution est un assistant qui répond aux questions des collaborateurs à partir des documents internes de l'entreprise, en respectant strictement les droits d'accès de chacun.</w:t>
      </w:r>
    </w:p>
    <w:p>
      <w:pPr>
        <w:spacing w:after="120"/>
      </w:pPr>
      <w:r>
        <w:t xml:space="preserve">Une entreprise accumule de nombreux documents répartis par métier : ressources humaines, juridique, finance, sécurité et RGPD, marketing, direction. Retrouver la bonne information y est souvent long et fastidieux.</w:t>
      </w:r>
    </w:p>
    <w:p>
      <w:pPr>
        <w:spacing w:after="120"/>
      </w:pPr>
      <w:r>
        <w:t xml:space="preserve">Un assistant conversationnel répond à ce besoin, mais soulève un risque : montrer un document confidentiel à une personne qui n'y a pas droit. C'est le point sensible que ce projet traite en priorité.</w:t>
      </w:r>
    </w:p>
    <w:p>
      <w:pPr>
        <w:spacing w:after="120"/>
      </w:pPr>
      <w:r>
        <w:t xml:space="preserve">L'objectif est donc un assistant qui réunit trois qualités : il répond en langage naturel, il cite toujours ses sources, et il ne donne à chaque personne accès qu'aux documents qu'elle est autorisée à consulter.</w:t>
      </w:r>
    </w:p>
    <w:p>
      <w:pPr>
        <w:pStyle w:val="Heading1"/>
        <w:spacing w:after="120" w:before="240"/>
      </w:pPr>
      <w:r>
        <w:t xml:space="preserve">La solution en bref</w:t>
      </w:r>
    </w:p>
    <w:p>
      <w:pPr>
        <w:spacing w:after="120"/>
      </w:pPr>
      <w:r>
        <w:t xml:space="preserve">L'utilisateur pose une question en français et reçoit une réponse rédigée, accompagnée de ses sources, limitée aux documents auxquels il a droit.</w:t>
      </w:r>
    </w:p>
    <w:p>
      <w:pPr>
        <w:spacing w:after="120"/>
      </w:pPr>
      <w:r>
        <w:t xml:space="preserve">Le parcours est simple, du point de vue de l'utilisateur :</w:t>
      </w:r>
    </w:p>
    <w:p>
      <w:pPr>
        <w:pStyle w:val="ListParagraph"/>
        <w:numPr>
          <w:ilvl w:val="0"/>
          <w:numId w:val="2"/>
        </w:numPr>
        <w:spacing w:after="80"/>
      </w:pPr>
      <w:r>
        <w:t xml:space="preserve">Il est identifié (son profil détermine ses domaines autorisés).</w:t>
      </w:r>
    </w:p>
    <w:p>
      <w:pPr>
        <w:pStyle w:val="ListParagraph"/>
        <w:numPr>
          <w:ilvl w:val="0"/>
          <w:numId w:val="2"/>
        </w:numPr>
        <w:spacing w:after="80"/>
      </w:pPr>
      <w:r>
        <w:t xml:space="preserve">Il pose sa question dans une interface de chat.</w:t>
      </w:r>
    </w:p>
    <w:p>
      <w:pPr>
        <w:pStyle w:val="ListParagraph"/>
        <w:numPr>
          <w:ilvl w:val="0"/>
          <w:numId w:val="2"/>
        </w:numPr>
        <w:spacing w:after="80"/>
      </w:pPr>
      <w:r>
        <w:t xml:space="preserve">Le système cherche la réponse uniquement dans les documents qu'il a le droit de voir.</w:t>
      </w:r>
    </w:p>
    <w:p>
      <w:pPr>
        <w:pStyle w:val="ListParagraph"/>
        <w:numPr>
          <w:ilvl w:val="0"/>
          <w:numId w:val="2"/>
        </w:numPr>
        <w:spacing w:after="80"/>
      </w:pPr>
      <w:r>
        <w:t xml:space="preserve">Il obtient une réponse claire, avec les sources cliquables (le document et la page précise, consultables ou téléchargeables).</w:t>
      </w:r>
    </w:p>
    <w:p>
      <w:pPr>
        <w:spacing w:after="120"/>
      </w:pPr>
      <w:r>
        <w:t xml:space="preserve">En coulisses, le système fonctionne comme un standard téléphonique intelligent : il identifie le ou les domaines concernés par la question, puis confie la réponse à un « spécialiste » par domaine (RH, juridique, finance...). Chaque spécialiste ne travaille que sur les documents de son domaine.</w:t>
      </w:r>
    </w:p>
    <w:p>
      <w:pPr>
        <w:spacing w:after="120"/>
      </w:pPr>
      <w:r>
        <w:t xml:space="preserve">Si la question touche un domaine auquel la personne n'a pas droit, ce domaine est simplement écarté, et l'utilisateur en est informé. Il n'obtient jamais, même indirectement, un contenu hors de ses droits.</w:t>
      </w:r>
    </w:p>
    <w:p>
      <w:pPr>
        <w:pStyle w:val="Heading1"/>
        <w:spacing w:after="120" w:before="240"/>
      </w:pPr>
      <w:r>
        <w:t xml:space="preserve">Les documents utilisés comme données</w:t>
      </w:r>
    </w:p>
    <w:p>
      <w:pPr>
        <w:spacing w:after="120"/>
      </w:pPr>
      <w:r>
        <w:t xml:space="preserve">Les réponses de l'assistant s'appuient sur un ensemble de documents de référence, organisés par domaine métier. Dans cette preuve de concept, le corpus réunit environ 120 documents publics et officiels — guides pratiques, notices, fiches et textes réglementaires — couvrant les six domaines : RH, droit du travail, finance, sécurité et RGPD, marketing, et direction.</w:t>
      </w:r>
    </w:p>
    <w:p>
      <w:pPr>
        <w:spacing w:after="120"/>
      </w:pPr>
      <w:r>
        <w:t xml:space="preserve">Ces documents proviennent de sources institutionnelles françaises (par exemple URSSAF, CNIL, Bpifrance, Légifrance, service-public). Ils sont rangés dans un dossier par domaine, et c'est précisément cette organisation qui détermine les droits d'accès. Dans un déploiement réel, ce corpus serait remplacé par les documents internes de l'entreprise, sans changer le fonctionnement de la solution.</w:t>
      </w:r>
    </w:p>
    <w:p>
      <w:pPr>
        <w:pStyle w:val="Heading1"/>
        <w:spacing w:after="120" w:before="240"/>
      </w:pPr>
      <w:r>
        <w:t xml:space="preserve">Comment ça marche</w:t>
      </w:r>
    </w:p>
    <w:p>
      <w:pPr>
        <w:spacing w:after="120"/>
      </w:pPr>
      <w:r>
        <w:t xml:space="preserve">Le système repose sur une méthode éprouvée appelée RAG (« génération augmentée par la recherche ») : on cherche d'abord les bons extraits de documents, puis une IA rédige la réponse à partir de ces extraits seulement. Voici les grandes étapes, en clair.</w:t>
      </w:r>
    </w:p>
    <w:p>
      <w:pPr>
        <w:pStyle w:val="ListParagraph"/>
        <w:numPr>
          <w:ilvl w:val="0"/>
          <w:numId w:val="3"/>
        </w:numPr>
        <w:spacing w:after="80"/>
      </w:pPr>
      <w:r>
        <w:rPr>
          <w:b/>
          <w:bCs/>
        </w:rPr>
        <w:t xml:space="preserve">Préparation des documents (une seule fois). </w:t>
      </w:r>
      <w:r>
        <w:t xml:space="preserve">On lit le texte des PDF, on le nettoie, et on le découpe en petits passages. Comme si on transformait de gros classeurs en fiches faciles à retrouver.</w:t>
      </w:r>
    </w:p>
    <w:p>
      <w:pPr>
        <w:pStyle w:val="ListParagraph"/>
        <w:numPr>
          <w:ilvl w:val="0"/>
          <w:numId w:val="3"/>
        </w:numPr>
        <w:spacing w:after="80"/>
      </w:pPr>
      <w:r>
        <w:rPr>
          <w:b/>
          <w:bCs/>
        </w:rPr>
        <w:t xml:space="preserve">Comprendre le sens. </w:t>
      </w:r>
      <w:r>
        <w:t xml:space="preserve">Chaque passage est transformé en une « empreinte numérique » de son sens. Deux textes qui parlent de la même idée ont des empreintes proches, même sans mots communs.</w:t>
      </w:r>
    </w:p>
    <w:p>
      <w:pPr>
        <w:pStyle w:val="ListParagraph"/>
        <w:numPr>
          <w:ilvl w:val="0"/>
          <w:numId w:val="3"/>
        </w:numPr>
        <w:spacing w:after="80"/>
      </w:pPr>
      <w:r>
        <w:rPr>
          <w:b/>
          <w:bCs/>
        </w:rPr>
        <w:t xml:space="preserve">Recherche hybride. </w:t>
      </w:r>
      <w:r>
        <w:t xml:space="preserve">Pour une question, le système combine deux recherches : par mots-clés (les termes exacts, sigles) et par sens (l'idée). Comme un bibliothécaire qui cherche à la fois par titre exact et par thème.</w:t>
      </w:r>
    </w:p>
    <w:p>
      <w:pPr>
        <w:pStyle w:val="ListParagraph"/>
        <w:numPr>
          <w:ilvl w:val="0"/>
          <w:numId w:val="3"/>
        </w:numPr>
        <w:spacing w:after="80"/>
      </w:pPr>
      <w:r>
        <w:rPr>
          <w:b/>
          <w:bCs/>
        </w:rPr>
        <w:t xml:space="preserve">Rédaction par l'IA. </w:t>
      </w:r>
      <w:r>
        <w:t xml:space="preserve">Une IA générative rédige la réponse uniquement à partir des passages trouvés, en citant ses sources. Si les extraits ne suffisent pas, elle le dit plutôt que d'inventer.</w:t>
      </w:r>
    </w:p>
    <w:p>
      <w:pPr>
        <w:pStyle w:val="ListParagraph"/>
        <w:numPr>
          <w:ilvl w:val="0"/>
          <w:numId w:val="3"/>
        </w:numPr>
        <w:spacing w:after="80"/>
      </w:pPr>
      <w:r>
        <w:rPr>
          <w:b/>
          <w:bCs/>
        </w:rPr>
        <w:t xml:space="preserve">Contrôle d'accès. </w:t>
      </w:r>
      <w:r>
        <w:t xml:space="preserve">Un « registre officiel » des droits sait qui a accès à quels domaines. Ce filtre est appliqué avant la recherche : on ne cherche que dans ce que la personne a le droit de voir.</w:t>
      </w:r>
    </w:p>
    <w:p>
      <w:pPr>
        <w:spacing w:after="120"/>
      </w:pPr>
      <w:r>
        <w:t xml:space="preserve">Les briques techniques utilisées, expliquées simplement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60"/>
              <w:left w:type="dxa" w:w="100"/>
              <w:bottom w:type="dxa" w:w="60"/>
              <w:right w:type="dxa" w:w="100"/>
            </w:tcMar>
          </w:tcPr>
          <w:p>
            <w:r>
              <w:rPr>
                <w:b/>
                <w:bCs/>
              </w:rPr>
              <w:t xml:space="preserve">Brique technique</w:t>
            </w:r>
          </w:p>
        </w:tc>
        <w:tc>
          <w:tcPr>
            <w:tcW w:type="dxa" w:w="6360"/>
            <w:shd w:fill="D9E2F3" w:val="clear"/>
            <w:tcMar>
              <w:top w:type="dxa" w:w="60"/>
              <w:left w:type="dxa" w:w="100"/>
              <w:bottom w:type="dxa" w:w="60"/>
              <w:right w:type="dxa" w:w="100"/>
            </w:tcMar>
          </w:tcPr>
          <w:p>
            <w:r>
              <w:rPr>
                <w:b/>
                <w:bCs/>
              </w:rPr>
              <w:t xml:space="preserve">Rôle, en clair</w:t>
            </w:r>
          </w:p>
        </w:tc>
      </w:tr>
      <w:tr>
        <w:trPr>
          <w:tblHeader w:val="false"/>
        </w:trPr>
        <w:tc>
          <w:tcPr>
            <w:tcW w:type="dxa" w:w="3000"/>
            <w:tcMar>
              <w:top w:type="dxa" w:w="60"/>
              <w:left w:type="dxa" w:w="100"/>
              <w:bottom w:type="dxa" w:w="60"/>
              <w:right w:type="dxa" w:w="100"/>
            </w:tcMar>
          </w:tcPr>
          <w:p>
            <w:r>
              <w:rPr>
                <w:b w:val="false"/>
                <w:bCs w:val="false"/>
              </w:rPr>
              <w:t xml:space="preserve">PyMuPDF</w:t>
            </w:r>
          </w:p>
        </w:tc>
        <w:tc>
          <w:tcPr>
            <w:tcW w:type="dxa" w:w="6360"/>
            <w:tcMar>
              <w:top w:type="dxa" w:w="60"/>
              <w:left w:type="dxa" w:w="100"/>
              <w:bottom w:type="dxa" w:w="60"/>
              <w:right w:type="dxa" w:w="100"/>
            </w:tcMar>
          </w:tcPr>
          <w:p>
            <w:r>
              <w:rPr>
                <w:b w:val="false"/>
                <w:bCs w:val="false"/>
              </w:rPr>
              <w:t xml:space="preserve">Lit et extrait le texte des documents PDF</w:t>
            </w:r>
          </w:p>
        </w:tc>
      </w:tr>
      <w:tr>
        <w:trPr>
          <w:tblHeader w:val="false"/>
        </w:trPr>
        <w:tc>
          <w:tcPr>
            <w:tcW w:type="dxa" w:w="3000"/>
            <w:tcMar>
              <w:top w:type="dxa" w:w="60"/>
              <w:left w:type="dxa" w:w="100"/>
              <w:bottom w:type="dxa" w:w="60"/>
              <w:right w:type="dxa" w:w="100"/>
            </w:tcMar>
          </w:tcPr>
          <w:p>
            <w:r>
              <w:rPr>
                <w:b w:val="false"/>
                <w:bCs w:val="false"/>
              </w:rPr>
              <w:t xml:space="preserve">BGE-M3</w:t>
            </w:r>
          </w:p>
        </w:tc>
        <w:tc>
          <w:tcPr>
            <w:tcW w:type="dxa" w:w="6360"/>
            <w:tcMar>
              <w:top w:type="dxa" w:w="60"/>
              <w:left w:type="dxa" w:w="100"/>
              <w:bottom w:type="dxa" w:w="60"/>
              <w:right w:type="dxa" w:w="100"/>
            </w:tcMar>
          </w:tcPr>
          <w:p>
            <w:r>
              <w:rPr>
                <w:b w:val="false"/>
                <w:bCs w:val="false"/>
              </w:rPr>
              <w:t xml:space="preserve">Transforme le sens des textes en empreintes numériques</w:t>
            </w:r>
          </w:p>
        </w:tc>
      </w:tr>
      <w:tr>
        <w:trPr>
          <w:tblHeader w:val="false"/>
        </w:trPr>
        <w:tc>
          <w:tcPr>
            <w:tcW w:type="dxa" w:w="3000"/>
            <w:tcMar>
              <w:top w:type="dxa" w:w="60"/>
              <w:left w:type="dxa" w:w="100"/>
              <w:bottom w:type="dxa" w:w="60"/>
              <w:right w:type="dxa" w:w="100"/>
            </w:tcMar>
          </w:tcPr>
          <w:p>
            <w:r>
              <w:rPr>
                <w:b w:val="false"/>
                <w:bCs w:val="false"/>
              </w:rPr>
              <w:t xml:space="preserve">OpenSearch</w:t>
            </w:r>
          </w:p>
        </w:tc>
        <w:tc>
          <w:tcPr>
            <w:tcW w:type="dxa" w:w="6360"/>
            <w:tcMar>
              <w:top w:type="dxa" w:w="60"/>
              <w:left w:type="dxa" w:w="100"/>
              <w:bottom w:type="dxa" w:w="60"/>
              <w:right w:type="dxa" w:w="100"/>
            </w:tcMar>
          </w:tcPr>
          <w:p>
            <w:r>
              <w:rPr>
                <w:b w:val="false"/>
                <w:bCs w:val="false"/>
              </w:rPr>
              <w:t xml:space="preserve">Moteur de recherche (mots-clés + sens) qui filtre selon les droits</w:t>
            </w:r>
          </w:p>
        </w:tc>
      </w:tr>
      <w:tr>
        <w:trPr>
          <w:tblHeader w:val="false"/>
        </w:trPr>
        <w:tc>
          <w:tcPr>
            <w:tcW w:type="dxa" w:w="3000"/>
            <w:tcMar>
              <w:top w:type="dxa" w:w="60"/>
              <w:left w:type="dxa" w:w="100"/>
              <w:bottom w:type="dxa" w:w="60"/>
              <w:right w:type="dxa" w:w="100"/>
            </w:tcMar>
          </w:tcPr>
          <w:p>
            <w:r>
              <w:rPr>
                <w:b w:val="false"/>
                <w:bCs w:val="false"/>
              </w:rPr>
              <w:t xml:space="preserve">PostgreSQL</w:t>
            </w:r>
          </w:p>
        </w:tc>
        <w:tc>
          <w:tcPr>
            <w:tcW w:type="dxa" w:w="6360"/>
            <w:tcMar>
              <w:top w:type="dxa" w:w="60"/>
              <w:left w:type="dxa" w:w="100"/>
              <w:bottom w:type="dxa" w:w="60"/>
              <w:right w:type="dxa" w:w="100"/>
            </w:tcMar>
          </w:tcPr>
          <w:p>
            <w:r>
              <w:rPr>
                <w:b w:val="false"/>
                <w:bCs w:val="false"/>
              </w:rPr>
              <w:t xml:space="preserve">Registre officiel des droits d'accès (qui a droit à quoi)</w:t>
            </w:r>
          </w:p>
        </w:tc>
      </w:tr>
      <w:tr>
        <w:trPr>
          <w:tblHeader w:val="false"/>
        </w:trPr>
        <w:tc>
          <w:tcPr>
            <w:tcW w:type="dxa" w:w="3000"/>
            <w:tcMar>
              <w:top w:type="dxa" w:w="60"/>
              <w:left w:type="dxa" w:w="100"/>
              <w:bottom w:type="dxa" w:w="60"/>
              <w:right w:type="dxa" w:w="100"/>
            </w:tcMar>
          </w:tcPr>
          <w:p>
            <w:r>
              <w:rPr>
                <w:b w:val="false"/>
                <w:bCs w:val="false"/>
              </w:rPr>
              <w:t xml:space="preserve">Claude (Anthropic)</w:t>
            </w:r>
          </w:p>
        </w:tc>
        <w:tc>
          <w:tcPr>
            <w:tcW w:type="dxa" w:w="6360"/>
            <w:tcMar>
              <w:top w:type="dxa" w:w="60"/>
              <w:left w:type="dxa" w:w="100"/>
              <w:bottom w:type="dxa" w:w="60"/>
              <w:right w:type="dxa" w:w="100"/>
            </w:tcMar>
          </w:tcPr>
          <w:p>
            <w:r>
              <w:rPr>
                <w:b w:val="false"/>
                <w:bCs w:val="false"/>
              </w:rPr>
              <w:t xml:space="preserve">Rédige la réponse à partir des extraits, en citant les sources</w:t>
            </w:r>
          </w:p>
        </w:tc>
      </w:tr>
      <w:tr>
        <w:trPr>
          <w:tblHeader w:val="false"/>
        </w:trPr>
        <w:tc>
          <w:tcPr>
            <w:tcW w:type="dxa" w:w="3000"/>
            <w:tcMar>
              <w:top w:type="dxa" w:w="60"/>
              <w:left w:type="dxa" w:w="100"/>
              <w:bottom w:type="dxa" w:w="60"/>
              <w:right w:type="dxa" w:w="100"/>
            </w:tcMar>
          </w:tcPr>
          <w:p>
            <w:r>
              <w:rPr>
                <w:b w:val="false"/>
                <w:bCs w:val="false"/>
              </w:rPr>
              <w:t xml:space="preserve">Docker</w:t>
            </w:r>
          </w:p>
        </w:tc>
        <w:tc>
          <w:tcPr>
            <w:tcW w:type="dxa" w:w="6360"/>
            <w:tcMar>
              <w:top w:type="dxa" w:w="60"/>
              <w:left w:type="dxa" w:w="100"/>
              <w:bottom w:type="dxa" w:w="60"/>
              <w:right w:type="dxa" w:w="100"/>
            </w:tcMar>
          </w:tcPr>
          <w:p>
            <w:r>
              <w:rPr>
                <w:b w:val="false"/>
                <w:bCs w:val="false"/>
              </w:rPr>
              <w:t xml:space="preserve">Fait tourner l'ensemble de façon isolée et reproductible</w:t>
            </w:r>
          </w:p>
        </w:tc>
      </w:tr>
    </w:tbl>
    <w:p>
      <w:pPr>
        <w:spacing w:after="120" w:before="120"/>
      </w:pPr>
      <w:r>
        <w:t xml:space="preserve">Deux « mémoires » travaillent ensemble : le registre des droits (PostgreSQL) reste la référence unique de qui peut voir quoi, et le moteur de recherche (OpenSearch) en garde une copie pour filtrer chaque recherche. On ne modifie les droits qu'à un seul endroit, ce qui évite les incohérences.</w:t>
      </w:r>
    </w:p>
    <w:p>
      <w:pPr>
        <w:pStyle w:val="Heading1"/>
        <w:spacing w:after="120" w:before="240"/>
      </w:pPr>
      <w:r>
        <w:t xml:space="preserve">Le pipeline d'une requête</w:t>
      </w:r>
    </w:p>
    <w:p>
      <w:pPr>
        <w:spacing w:after="120"/>
      </w:pPr>
      <w:r>
        <w:t xml:space="preserve">Chaque question suit le même enchaînement, en temps réel :</w:t>
      </w:r>
    </w:p>
    <w:p>
      <w:pPr>
        <w:pStyle w:val="ListParagraph"/>
        <w:numPr>
          <w:ilvl w:val="0"/>
          <w:numId w:val="4"/>
        </w:numPr>
        <w:spacing w:after="80"/>
      </w:pPr>
      <w:r>
        <w:t xml:space="preserve">L'utilisateur envoie sa question et son identité via l'interface, qui appelle l'API.</w:t>
      </w:r>
    </w:p>
    <w:p>
      <w:pPr>
        <w:pStyle w:val="ListParagraph"/>
        <w:numPr>
          <w:ilvl w:val="0"/>
          <w:numId w:val="4"/>
        </w:numPr>
        <w:spacing w:after="80"/>
      </w:pPr>
      <w:r>
        <w:t xml:space="preserve">L'API récupère les droits de l'utilisateur dans PostgreSQL : la liste de ses domaines autorisés.</w:t>
      </w:r>
    </w:p>
    <w:p>
      <w:pPr>
        <w:pStyle w:val="ListParagraph"/>
        <w:numPr>
          <w:ilvl w:val="0"/>
          <w:numId w:val="4"/>
        </w:numPr>
        <w:spacing w:after="80"/>
      </w:pPr>
      <w:r>
        <w:t xml:space="preserve">Le routeur analyse la question et identifie les domaines pertinents.</w:t>
      </w:r>
    </w:p>
    <w:p>
      <w:pPr>
        <w:pStyle w:val="ListParagraph"/>
        <w:numPr>
          <w:ilvl w:val="0"/>
          <w:numId w:val="4"/>
        </w:numPr>
        <w:spacing w:after="80"/>
      </w:pPr>
      <w:r>
        <w:t xml:space="preserve">Le système ne retient que les domaines à la fois pertinents et autorisés ; les autres sont écartés et signalés.</w:t>
      </w:r>
    </w:p>
    <w:p>
      <w:pPr>
        <w:pStyle w:val="ListParagraph"/>
        <w:numPr>
          <w:ilvl w:val="0"/>
          <w:numId w:val="4"/>
        </w:numPr>
        <w:spacing w:after="80"/>
      </w:pPr>
      <w:r>
        <w:t xml:space="preserve">Pour chaque domaine retenu, la question est transformée en vecteur, puis une recherche hybride filtrée par les droits interroge le moteur et rapporte les meilleurs extraits autorisés.</w:t>
      </w:r>
    </w:p>
    <w:p>
      <w:pPr>
        <w:pStyle w:val="ListParagraph"/>
        <w:numPr>
          <w:ilvl w:val="0"/>
          <w:numId w:val="4"/>
        </w:numPr>
        <w:spacing w:after="80"/>
      </w:pPr>
      <w:r>
        <w:t xml:space="preserve">Ces extraits forment le contexte ; l'agent du domaine demande au modèle de rédiger une réponse fondée uniquement sur eux, avec citation des sources.</w:t>
      </w:r>
    </w:p>
    <w:p>
      <w:pPr>
        <w:pStyle w:val="ListParagraph"/>
        <w:numPr>
          <w:ilvl w:val="0"/>
          <w:numId w:val="4"/>
        </w:numPr>
        <w:spacing w:after="80"/>
      </w:pPr>
      <w:r>
        <w:t xml:space="preserve">La réponse et ses sources (document et page, consultables) remontent à l'interface, agent par agent.</w:t>
      </w:r>
    </w:p>
    <w:p>
      <w:pPr>
        <w:spacing w:after="120"/>
      </w:pPr>
      <w:r>
        <w:t xml:space="preserve">L'ensemble prend quelques secondes, et à aucun moment un document hors des droits de l'utilisateur n'entre dans la recherche ou dans le contexte.</w:t>
      </w:r>
    </w:p>
    <w:p>
      <w:pPr>
        <w:pStyle w:val="Heading1"/>
        <w:spacing w:after="120" w:before="240"/>
      </w:pPr>
      <w:r>
        <w:t xml:space="preserve">Le rôle des agents</w:t>
      </w:r>
    </w:p>
    <w:p>
      <w:pPr>
        <w:spacing w:after="120"/>
      </w:pPr>
      <w:r>
        <w:t xml:space="preserve">Le système ne repose pas sur un assistant unique, mais sur plusieurs « agents », chacun spécialiste d'un domaine. Un agent combine deux tâches, limitées à son domaine : chercher les bons extraits, puis rédiger une réponse sourcée à partir de ces seuls extraits.</w:t>
      </w:r>
    </w:p>
    <w:p>
      <w:pPr>
        <w:spacing w:after="120"/>
      </w:pPr>
      <w:r>
        <w:t xml:space="preserve">Un premier composant, le « routeur », lit la question et identifie le ou les domaines concernés. Le système confie alors la réponse à un agent par domaine — mais uniquement aux domaines auxquels l'utilisateur a droit. Un domaine pertinent mais non autorisé est écarté et signalé.</w:t>
      </w:r>
    </w:p>
    <w:p>
      <w:pPr>
        <w:spacing w:after="120"/>
      </w:pPr>
      <w:r>
        <w:t xml:space="preserve">Ce découpage apporte trois bénéfices : des réponses plus précises (chaque agent ne voit que les documents de son métier, sans mélange), un respect naturel des droits (un domaine correspond à un périmètre d'accès), et une traçabilité claire (chaque réponse est étiquetée par domaine et sourcée).</w:t>
      </w:r>
    </w:p>
    <w:p>
      <w:pPr>
        <w:pStyle w:val="Heading1"/>
        <w:spacing w:after="120" w:before="240"/>
      </w:pPr>
      <w:r>
        <w:t xml:space="preserve">Détails techniques</w:t>
      </w:r>
    </w:p>
    <w:p>
      <w:pPr>
        <w:spacing w:after="120"/>
      </w:pPr>
      <w:r>
        <w:t xml:space="preserve">L'ingestion est un pipeline hors-ligne en plusieurs étapes. Le texte des PDF est extrait page par page avec PyMuPDF, puis nettoyé : suppression des en-têtes et pieds de page récurrents (détectés par leur fréquence en bord de page), des artefacts d'impression, et déduplication des documents identiques par empreinte de contenu (SHA-256). Le découpage en fragments est adaptatif selon la nature du document : un fragment par article pour les textes juridiques (avec leur fil d'Ariane Titre / Chapitre / Section), le document entier pour les fiches courtes, et un regroupement de pages jusqu'à une taille cible pour les documents génériques. Chaque fragment est vectorisé par le modèle d'embeddings multilingue BGE-M3 (vecteurs de 1024 dimensions, normalisés).</w:t>
      </w:r>
    </w:p>
    <w:p>
      <w:pPr>
        <w:spacing w:after="120"/>
      </w:pPr>
      <w:r>
        <w:t xml:space="preserve">Le stockage repose sur deux moteurs. OpenSearch 2.19 héberge l'index des fragments : le texte (analyseur français pour la recherche lexicale BM25), le vecteur (champ knn_vector, index HNSW sur moteur faiss, similarité cosinus), les métadonnées et le champ de droits groupes_acl. PostgreSQL porte le modèle relationnel des droits (utilisateurs, groupes, documents et leurs tables de liaison) et fait autorité.</w:t>
      </w:r>
    </w:p>
    <w:p>
      <w:pPr>
        <w:spacing w:after="120"/>
      </w:pPr>
      <w:r>
        <w:t xml:space="preserve">La recherche est hybride : une requête combine une branche lexicale (BM25) et une branche vectorielle (kNN), fusionnées par un pipeline qui normalise les deux scores (min-max) puis les combine (moyenne arithmétique pondérée). Le filtre de droits — une clause « terms » sur groupes_acl restreinte aux groupes de l'utilisateur — est dupliqué dans les deux branches et appliqué avant le calcul de score (le filtrage vectoriel pendant la recherche impose le moteur faiss). Les meilleurs fragments autorisés forment le contexte transmis au modèle de génération (Claude, via l'API Anthropic), avec une séparation stricte entre les instructions (prompt système) et le contenu récupéré. La couche agentique ajoute un routeur (classification des domaines par le modèle) et un agent par domaine autorisé.</w:t>
      </w:r>
    </w:p>
    <w:p>
      <w:pPr>
        <w:spacing w:after="120"/>
      </w:pPr>
      <w:r>
        <w:t xml:space="preserve">Les droits sont maintenus cohérents par un principe de source unique : PostgreSQL est la référence, et une étape de synchronisation recopie les droits document-groupes dans le champ groupes_acl d'OpenSearch, jamais l'inverse. L'ensemble s'exécute en conteneurs Docker (OpenSearch, PostgreSQL, et un conteneur applicatif Linux pour la partie Python et le modèle d'embeddings), l'API étant exposée par un service web léger (Flask).</w:t>
      </w:r>
    </w:p>
    <w:p>
      <w:pPr>
        <w:pStyle w:val="Heading1"/>
        <w:spacing w:after="120" w:before="240"/>
      </w:pPr>
      <w:r>
        <w:t xml:space="preserve">Avantages et points forts</w:t>
      </w:r>
    </w:p>
    <w:p>
      <w:pPr>
        <w:pStyle w:val="ListParagraph"/>
        <w:numPr>
          <w:ilvl w:val="0"/>
          <w:numId w:val="1"/>
        </w:numPr>
        <w:spacing w:after="80"/>
      </w:pPr>
      <w:r>
        <w:rPr>
          <w:b/>
          <w:bCs/>
        </w:rPr>
        <w:t xml:space="preserve">Réponses fiables et vérifiables. </w:t>
      </w:r>
      <w:r>
        <w:t xml:space="preserve">Chaque affirmation renvoie à un document et à sa page. L'IA s'appuie uniquement sur les extraits fournis et signale ce qu'elle ne sait pas, ce qui limite fortement le risque d'invention.</w:t>
      </w:r>
    </w:p>
    <w:p>
      <w:pPr>
        <w:pStyle w:val="ListParagraph"/>
        <w:numPr>
          <w:ilvl w:val="0"/>
          <w:numId w:val="1"/>
        </w:numPr>
        <w:spacing w:after="80"/>
      </w:pPr>
      <w:r>
        <w:rPr>
          <w:b/>
          <w:bCs/>
        </w:rPr>
        <w:t xml:space="preserve">Sécurité des accès dès la conception. </w:t>
      </w:r>
      <w:r>
        <w:t xml:space="preserve">Le filtre des droits s'applique avant la recherche. Un document non autorisé n'apparaît jamais, ni dans les résultats, ni dans ce que lit l'IA.</w:t>
      </w:r>
    </w:p>
    <w:p>
      <w:pPr>
        <w:pStyle w:val="ListParagraph"/>
        <w:numPr>
          <w:ilvl w:val="0"/>
          <w:numId w:val="1"/>
        </w:numPr>
        <w:spacing w:after="80"/>
      </w:pPr>
      <w:r>
        <w:rPr>
          <w:b/>
          <w:bCs/>
        </w:rPr>
        <w:t xml:space="preserve">Spécialisation par domaine. </w:t>
      </w:r>
      <w:r>
        <w:t xml:space="preserve">Chaque réponse s'appuie sur les documents du bon métier, sans mélanger les sujets, ce qui améliore la précision.</w:t>
      </w:r>
    </w:p>
    <w:p>
      <w:pPr>
        <w:pStyle w:val="ListParagraph"/>
        <w:numPr>
          <w:ilvl w:val="0"/>
          <w:numId w:val="1"/>
        </w:numPr>
        <w:spacing w:after="80"/>
      </w:pPr>
      <w:r>
        <w:rPr>
          <w:b/>
          <w:bCs/>
        </w:rPr>
        <w:t xml:space="preserve">Traçabilité. </w:t>
      </w:r>
      <w:r>
        <w:t xml:space="preserve">Chaque réponse est étiquetée par domaine et ses sources sont consultables en un clic.</w:t>
      </w:r>
    </w:p>
    <w:p>
      <w:pPr>
        <w:pStyle w:val="ListParagraph"/>
        <w:numPr>
          <w:ilvl w:val="0"/>
          <w:numId w:val="1"/>
        </w:numPr>
        <w:spacing w:after="80"/>
      </w:pPr>
      <w:r>
        <w:rPr>
          <w:b/>
          <w:bCs/>
        </w:rPr>
        <w:t xml:space="preserve">Gain de temps. </w:t>
      </w:r>
      <w:r>
        <w:t xml:space="preserve">L'information utile est obtenue en quelques secondes, au lieu d'une recherche manuelle dans les dossiers.</w:t>
      </w:r>
    </w:p>
    <w:p>
      <w:pPr>
        <w:pStyle w:val="ListParagraph"/>
        <w:numPr>
          <w:ilvl w:val="0"/>
          <w:numId w:val="1"/>
        </w:numPr>
        <w:spacing w:after="80"/>
      </w:pPr>
      <w:r>
        <w:rPr>
          <w:b/>
          <w:bCs/>
        </w:rPr>
        <w:t xml:space="preserve">Maîtrise et portabilité. </w:t>
      </w:r>
      <w:r>
        <w:t xml:space="preserve">L'ensemble fonctionne en local, dans des conteneurs, sans dépendre d'un service opaque. Les droits sont pilotés à un seul endroit.</w:t>
      </w:r>
    </w:p>
    <w:p>
      <w:pPr>
        <w:pStyle w:val="ListParagraph"/>
        <w:numPr>
          <w:ilvl w:val="0"/>
          <w:numId w:val="1"/>
        </w:numPr>
        <w:spacing w:after="80"/>
      </w:pPr>
      <w:r>
        <w:rPr>
          <w:b/>
          <w:bCs/>
        </w:rPr>
        <w:t xml:space="preserve">Socle éprouvé. </w:t>
      </w:r>
      <w:r>
        <w:t xml:space="preserve">La solution s'appuie sur des moteurs et modèles reconnus, assemblés selon une architecture standard et documentée.</w:t>
      </w:r>
    </w:p>
    <w:p>
      <w:pPr>
        <w:pStyle w:val="Heading1"/>
        <w:spacing w:after="120" w:before="240"/>
      </w:pPr>
      <w:r>
        <w:t xml:space="preserve">Perspectives</w:t>
      </w:r>
    </w:p>
    <w:p>
      <w:pPr>
        <w:spacing w:after="120"/>
      </w:pPr>
      <w:r>
        <w:t xml:space="preserve">Cette solution est aujourd'hui une preuve de concept fonctionnelle : la chaîne complète a été validée de bout en bout. Elle constitue une base solide pour une mise en production, avec plusieurs évolutions naturelles.</w:t>
      </w:r>
    </w:p>
    <w:p>
      <w:pPr>
        <w:pStyle w:val="ListParagraph"/>
        <w:numPr>
          <w:ilvl w:val="0"/>
          <w:numId w:val="1"/>
        </w:numPr>
        <w:spacing w:after="80"/>
      </w:pPr>
      <w:r>
        <w:rPr>
          <w:b/>
          <w:bCs/>
        </w:rPr>
        <w:t xml:space="preserve">Réponse unifiée. </w:t>
      </w:r>
      <w:r>
        <w:t xml:space="preserve">Fusionner les réponses de plusieurs domaines en une seule réponse cohérente, quand une question couvre plusieurs métiers.</w:t>
      </w:r>
    </w:p>
    <w:p>
      <w:pPr>
        <w:pStyle w:val="ListParagraph"/>
        <w:numPr>
          <w:ilvl w:val="0"/>
          <w:numId w:val="1"/>
        </w:numPr>
        <w:spacing w:after="80"/>
      </w:pPr>
      <w:r>
        <w:rPr>
          <w:b/>
          <w:bCs/>
        </w:rPr>
        <w:t xml:space="preserve">Authentification réelle. </w:t>
      </w:r>
      <w:r>
        <w:t xml:space="preserve">Connecter l'identité des utilisateurs au système de l'entreprise (SSO), au lieu de la simulation actuelle.</w:t>
      </w:r>
    </w:p>
    <w:p>
      <w:pPr>
        <w:pStyle w:val="ListParagraph"/>
        <w:numPr>
          <w:ilvl w:val="0"/>
          <w:numId w:val="1"/>
        </w:numPr>
        <w:spacing w:after="80"/>
      </w:pPr>
      <w:r>
        <w:rPr>
          <w:b/>
          <w:bCs/>
        </w:rPr>
        <w:t xml:space="preserve">Connexion aux sources de l'entreprise. </w:t>
      </w:r>
      <w:r>
        <w:t xml:space="preserve">Se brancher sur les espaces documentaires existants (SharePoint, GED) et synchroniser automatiquement les droits.</w:t>
      </w:r>
    </w:p>
    <w:p>
      <w:pPr>
        <w:pStyle w:val="ListParagraph"/>
        <w:numPr>
          <w:ilvl w:val="0"/>
          <w:numId w:val="1"/>
        </w:numPr>
        <w:spacing w:after="80"/>
      </w:pPr>
      <w:r>
        <w:rPr>
          <w:b/>
          <w:bCs/>
        </w:rPr>
        <w:t xml:space="preserve">Montée en charge et supervision. </w:t>
      </w:r>
      <w:r>
        <w:t xml:space="preserve">Suivre l'usage, journaliser les accès et surveiller la qualité des réponses via des tableaux de bord.</w:t>
      </w:r>
    </w:p>
    <w:p>
      <w:pPr>
        <w:pStyle w:val="ListParagraph"/>
        <w:numPr>
          <w:ilvl w:val="0"/>
          <w:numId w:val="1"/>
        </w:numPr>
        <w:spacing w:after="80"/>
      </w:pPr>
      <w:r>
        <w:rPr>
          <w:b/>
          <w:bCs/>
        </w:rPr>
        <w:t xml:space="preserve">Durcissement sécurité. </w:t>
      </w:r>
      <w:r>
        <w:t xml:space="preserve">Ajouter les protections attendues en production (chiffrement, restriction des accès techniques, audit).</w:t>
      </w:r>
    </w:p>
    <w:p>
      <w:pPr>
        <w:spacing w:after="120"/>
      </w:pPr>
      <w:r>
        <w:t xml:space="preserve">En résumé, la solution démontre qu'un assistant IA peut être à la fois utile, fiable et respectueux des droits d'accès. Les prochaines étapes relèvent de l'industrialisation, pas de la faisabilité.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2026-09-17T10:35:19.730Z</dcterms:created>
  <dcterms:modified xsi:type="dcterms:W3CDTF">2026-09-17T10:35:19.730Z</dcterms:modified>
</cp:coreProperties>
</file>

<file path=docProps/custom.xml><?xml version="1.0" encoding="utf-8"?>
<Properties xmlns="http://schemas.openxmlformats.org/officeDocument/2006/custom-properties" xmlns:vt="http://schemas.openxmlformats.org/officeDocument/2006/docPropsVTypes"/>
</file>