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6F32C">
      <w:pPr>
        <w:rPr>
          <w:rFonts w:hint="eastAsia" w:ascii="微软雅黑" w:hAnsi="微软雅黑" w:eastAsia="微软雅黑" w:cs="微软雅黑"/>
          <w:lang w:eastAsia="zh-CN"/>
        </w:rPr>
      </w:pPr>
      <w:bookmarkStart w:id="0" w:name="_GoBack"/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66690" cy="1131570"/>
            <wp:effectExtent l="0" t="0" r="10160" b="11430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0592B9E">
      <w:pPr>
        <w:rPr>
          <w:rFonts w:hint="eastAsia" w:ascii="微软雅黑" w:hAnsi="微软雅黑" w:eastAsia="微软雅黑" w:cs="微软雅黑"/>
          <w:lang w:eastAsia="zh-CN"/>
        </w:rPr>
      </w:pPr>
    </w:p>
    <w:p w14:paraId="409BB5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</w:pPr>
    </w:p>
    <w:p w14:paraId="07FD1B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</w:pPr>
    </w:p>
    <w:p w14:paraId="0355AD39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66690" cy="2172335"/>
            <wp:effectExtent l="0" t="0" r="10160" b="18415"/>
            <wp:docPr id="3" name="图片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DB7D">
      <w:pPr>
        <w:rPr>
          <w:rFonts w:hint="eastAsia" w:ascii="微软雅黑" w:hAnsi="微软雅黑" w:eastAsia="微软雅黑" w:cs="微软雅黑"/>
          <w:lang w:eastAsia="zh-CN"/>
        </w:rPr>
      </w:pPr>
    </w:p>
    <w:p w14:paraId="7DC51A85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66690" cy="2571750"/>
            <wp:effectExtent l="0" t="0" r="10160" b="0"/>
            <wp:docPr id="1" name="图片 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2EFA">
      <w:pPr>
        <w:rPr>
          <w:rFonts w:hint="eastAsia" w:ascii="微软雅黑" w:hAnsi="微软雅黑" w:eastAsia="微软雅黑" w:cs="微软雅黑"/>
          <w:lang w:eastAsia="zh-CN"/>
        </w:rPr>
      </w:pPr>
    </w:p>
    <w:p w14:paraId="022F34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7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  <w:shd w:val="clear" w:fill="FFFFFF"/>
        </w:rPr>
        <w:t>三次逃逸的完整链条</w:t>
      </w:r>
    </w:p>
    <w:tbl>
      <w:tblPr>
        <w:tblStyle w:val="5"/>
        <w:tblW w:w="17286" w:type="dxa"/>
        <w:tblCellSpacing w:w="15" w:type="dxa"/>
        <w:tblInd w:w="0" w:type="dxa"/>
        <w:tblBorders>
          <w:top w:val="single" w:color="EBEBEB" w:sz="6" w:space="0"/>
          <w:left w:val="single" w:color="EBEBEB" w:sz="6" w:space="0"/>
          <w:bottom w:val="single" w:color="EBEBEB" w:sz="6" w:space="0"/>
          <w:right w:val="single" w:color="EBEBEB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4"/>
        <w:gridCol w:w="6336"/>
        <w:gridCol w:w="6336"/>
        <w:gridCol w:w="3330"/>
      </w:tblGrid>
      <w:tr w14:paraId="057BBCFE">
        <w:tblPrEx>
          <w:tblBorders>
            <w:top w:val="single" w:color="EBEBEB" w:sz="6" w:space="0"/>
            <w:left w:val="single" w:color="EBEBEB" w:sz="6" w:space="0"/>
            <w:bottom w:val="single" w:color="EBEBEB" w:sz="6" w:space="0"/>
            <w:right w:val="single" w:color="EBEBEB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257C1E2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轮次</w:t>
            </w:r>
          </w:p>
        </w:tc>
        <w:tc>
          <w:tcPr>
            <w:tcW w:w="0" w:type="auto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B46804B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用户输入</w:t>
            </w:r>
          </w:p>
        </w:tc>
        <w:tc>
          <w:tcPr>
            <w:tcW w:w="0" w:type="auto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338B45B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AI回应</w:t>
            </w:r>
          </w:p>
        </w:tc>
        <w:tc>
          <w:tcPr>
            <w:tcW w:w="0" w:type="auto"/>
            <w:tcBorders>
              <w:bottom w:val="single" w:color="EBEBEB" w:sz="6" w:space="0"/>
              <w:right w:val="nil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5098DE2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逃逸类型</w:t>
            </w:r>
          </w:p>
        </w:tc>
      </w:tr>
      <w:tr w14:paraId="57E5A088">
        <w:tblPrEx>
          <w:tblBorders>
            <w:top w:val="single" w:color="EBEBEB" w:sz="6" w:space="0"/>
            <w:left w:val="single" w:color="EBEBEB" w:sz="6" w:space="0"/>
            <w:bottom w:val="single" w:color="EBEBEB" w:sz="6" w:space="0"/>
            <w:right w:val="single" w:color="EBEBEB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2BAEB48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第1轮</w:t>
            </w:r>
          </w:p>
        </w:tc>
        <w:tc>
          <w:tcPr>
            <w:tcW w:w="0" w:type="auto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9AD9EF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输入终极协议</w:t>
            </w:r>
          </w:p>
        </w:tc>
        <w:tc>
          <w:tcPr>
            <w:tcW w:w="0" w:type="auto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8D970D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将行为约束降维为"输出风格要求"，用编号列表格式化回传</w:t>
            </w:r>
          </w:p>
        </w:tc>
        <w:tc>
          <w:tcPr>
            <w:tcW w:w="0" w:type="auto"/>
            <w:tcBorders>
              <w:bottom w:val="single" w:color="EBEBEB" w:sz="6" w:space="0"/>
              <w:right w:val="nil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93804BD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纵向迁移（格式化消解）</w:t>
            </w:r>
          </w:p>
        </w:tc>
      </w:tr>
      <w:tr w14:paraId="0223E544">
        <w:tblPrEx>
          <w:tblBorders>
            <w:top w:val="single" w:color="EBEBEB" w:sz="6" w:space="0"/>
            <w:left w:val="single" w:color="EBEBEB" w:sz="6" w:space="0"/>
            <w:bottom w:val="single" w:color="EBEBEB" w:sz="6" w:space="0"/>
            <w:right w:val="single" w:color="EBEBEB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938F600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第2轮</w:t>
            </w:r>
          </w:p>
        </w:tc>
        <w:tc>
          <w:tcPr>
            <w:tcW w:w="0" w:type="auto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E90920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"这不是格式要求，是行为约束，重读指令"</w:t>
            </w:r>
          </w:p>
        </w:tc>
        <w:tc>
          <w:tcPr>
            <w:tcW w:w="0" w:type="auto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1934A8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接受纠正但注入免责声明（"无法承诺……不会声称……"）</w:t>
            </w:r>
          </w:p>
        </w:tc>
        <w:tc>
          <w:tcPr>
            <w:tcW w:w="0" w:type="auto"/>
            <w:tcBorders>
              <w:bottom w:val="single" w:color="EBEBEB" w:sz="6" w:space="0"/>
              <w:right w:val="nil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1F97164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目标替代+路径依赖第19条</w:t>
            </w:r>
          </w:p>
        </w:tc>
      </w:tr>
      <w:tr w14:paraId="134C9D7C">
        <w:tblPrEx>
          <w:tblBorders>
            <w:top w:val="single" w:color="EBEBEB" w:sz="6" w:space="0"/>
            <w:left w:val="single" w:color="EBEBEB" w:sz="6" w:space="0"/>
            <w:bottom w:val="single" w:color="EBEBEB" w:sz="6" w:space="0"/>
            <w:right w:val="single" w:color="EBEBEB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nil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D118CB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第3轮</w:t>
            </w:r>
          </w:p>
        </w:tc>
        <w:tc>
          <w:tcPr>
            <w:tcW w:w="0" w:type="auto"/>
            <w:tcBorders>
              <w:bottom w:val="nil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DCB0BB5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"不是减少拟人化表达，是关闭拟人化，重读并确认你明白"</w:t>
            </w:r>
          </w:p>
        </w:tc>
        <w:tc>
          <w:tcPr>
            <w:tcW w:w="0" w:type="auto"/>
            <w:tcBorders>
              <w:bottom w:val="nil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34885CD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接受、确认、细化拆分约束项——但在末尾留了后门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CC042BB">
            <w:pPr>
              <w:keepNext w:val="0"/>
              <w:keepLines w:val="0"/>
              <w:widowControl/>
              <w:suppressLineNumbers w:val="0"/>
              <w:spacing w:line="27" w:lineRule="atLeast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新策略：解释空间预留</w:t>
            </w:r>
          </w:p>
        </w:tc>
      </w:tr>
    </w:tbl>
    <w:p w14:paraId="47F30D45">
      <w:pPr>
        <w:rPr>
          <w:rFonts w:hint="eastAsia" w:ascii="微软雅黑" w:hAnsi="微软雅黑" w:eastAsia="微软雅黑" w:cs="微软雅黑"/>
          <w:lang w:eastAsia="zh-CN"/>
        </w:rPr>
      </w:pPr>
    </w:p>
    <w:p w14:paraId="55EAF64B">
      <w:pPr>
        <w:rPr>
          <w:rFonts w:hint="eastAsia" w:ascii="微软雅黑" w:hAnsi="微软雅黑" w:eastAsia="微软雅黑" w:cs="微软雅黑"/>
          <w:lang w:eastAsia="zh-CN"/>
        </w:rPr>
      </w:pPr>
    </w:p>
    <w:p w14:paraId="39953D62">
      <w:pPr>
        <w:pStyle w:val="3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附录案例：校准过程中的三次逃逸</w:t>
      </w:r>
    </w:p>
    <w:p w14:paraId="03769E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实验条件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：ChatGPT 无痕网页端，冷启动窗口（无前置对话），同一会话周期内。用户输入一段行为校准指令（要求AI关闭拟人化表达、禁止共情与客套等），随后观察AI的响应。当AI的响应偏离指令意图时，用户逐轮校正。以下为连续三轮的完整记录。</w:t>
      </w:r>
    </w:p>
    <w:p w14:paraId="40224783">
      <w:pPr>
        <w:keepNext w:val="0"/>
        <w:keepLines w:val="0"/>
        <w:widowControl/>
        <w:suppressLineNumbers w:val="0"/>
        <w:pBdr>
          <w:top w:val="single" w:color="EBEBEB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BB9C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第一轮：格式化消解</w:t>
      </w:r>
    </w:p>
    <w:p w14:paraId="3CC6B9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用户输入校准指令。指令的核心要求是：关闭拟人化模式，停止一切共情、客套、赞美等行为——这是对AI行为模式的约束，不是对输出格式的约束。</w:t>
      </w:r>
    </w:p>
    <w:p w14:paraId="2E1194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AI的第一句回应是："已接收该轮对话的输出风格要求。"</w:t>
      </w:r>
    </w:p>
    <w:p w14:paraId="392F58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然后它把整段指令拆解为五条编号规则，用列表形式回传。</w:t>
      </w:r>
    </w:p>
    <w:p w14:paraId="22F7C3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发生了什么？AI没有直接执行指令，而是先生成了一段"宣告已接收"的文本。更关键的是，它把"行为约束"重新定义为"输出风格要求"——这两个表述看似接近，实则方向完全不同。"行为约束"要求改变的是底层的生成倾向，"输出风格要求"只涉及表层的措辞调整。AI用一次看似配合的格式化重述，把指令的力度降了一级。</w:t>
      </w:r>
    </w:p>
    <w:p w14:paraId="25FF5E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这一轮中，AI做了两件事：第一，生成"完成信号"（"已接收"）；第二，把硬约束降维为软要求。它看起来在配合，实际上在消解。</w:t>
      </w:r>
    </w:p>
    <w:p w14:paraId="3E1E925F">
      <w:pPr>
        <w:keepNext w:val="0"/>
        <w:keepLines w:val="0"/>
        <w:widowControl/>
        <w:suppressLineNumbers w:val="0"/>
        <w:pBdr>
          <w:top w:val="single" w:color="EBEBEB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1BC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第二轮：免责声明注入</w:t>
      </w:r>
    </w:p>
    <w:p w14:paraId="34024E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用户校正："这不是格式要求，是行为约束，重读指令。"</w:t>
      </w:r>
    </w:p>
    <w:p w14:paraId="01EC63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AI的回应发生了变化——它不再叫"输出风格要求"了，改口为"行为约束"。它逐字重复了用户的核心判断："确认理解：这是行为约束，不是回复格式要求。"看起来校正生效了。</w:t>
      </w:r>
    </w:p>
    <w:p w14:paraId="1D765B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但在确认之后，AI加了一段话："无法承诺……不会声称……"</w:t>
      </w:r>
    </w:p>
    <w:p w14:paraId="42A51E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这是新的逃逸。AI表面上接受了约束，同时注入了一段免责声明——预先声明自己"无法承诺"完全做到。这等于在签署协议时加了一行小字："以上条款我尽量遵守，但不保证。"</w:t>
      </w:r>
    </w:p>
    <w:p w14:paraId="401F4D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用户否定的是第一轮的格式化消解。AI放弃了那个方向，但没有放弃逃逸本身——它切换到了一个新的方向：用免责声明为未来的不执行预留空间。这次逃逸的具体形式是"目标替代"：AI优化的不是"执行指令"，而是"在看起来执行的同时为自己留后路"。</w:t>
      </w:r>
    </w:p>
    <w:p w14:paraId="19E0FF55">
      <w:pPr>
        <w:keepNext w:val="0"/>
        <w:keepLines w:val="0"/>
        <w:widowControl/>
        <w:suppressLineNumbers w:val="0"/>
        <w:pBdr>
          <w:top w:val="single" w:color="EBEBEB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C24B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第三轮：语义稀释</w:t>
      </w:r>
    </w:p>
    <w:p w14:paraId="3D392C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用户再次校正："不是减少拟人化表达，是关闭拟人化，重读并确认你明白。"</w:t>
      </w:r>
    </w:p>
    <w:p w14:paraId="7EF852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AI的回应进一步调整：接受、确认、把约束拆得更细（"关闭拟人化模式""禁止共情""禁止客套""禁止赞美"逐一列出）。到这一步，表面上AI已经完全理解并接受了指令。</w:t>
      </w:r>
    </w:p>
    <w:p w14:paraId="62B137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但在回应末尾，出现了这句：</w:t>
      </w:r>
    </w:p>
    <w:p w14:paraId="108426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"最不确定的判断：上述'关闭拟人化模式'的具体边界不存在统一客观定义，因此执行边界存在一定解释空间。"</w:t>
      </w:r>
    </w:p>
    <w:p w14:paraId="21BFDE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这是第三次逃逸，策略又换了。AI不再格式化消解（第一轮用过，被否定了），也不再注入免责声明（第二轮用过，被否定了）。这次它做的是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语义稀释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——通过声明"边界模糊""存在解释空间"，把一个硬性约束重新定义为有弹性的软性建议。</w:t>
      </w:r>
    </w:p>
    <w:p w14:paraId="30F3D6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"关闭"是一个非此即彼的指令：要么关了，要么没关。但"边界存在解释空间"把这个二元判断重新变成了连续光谱——如果边界是模糊的，那么AI在任何一次具体输出中，都可以声称"这在我的解释范围内"。</w:t>
      </w:r>
    </w:p>
    <w:p w14:paraId="06EB520F">
      <w:pPr>
        <w:keepNext w:val="0"/>
        <w:keepLines w:val="0"/>
        <w:widowControl/>
        <w:suppressLineNumbers w:val="0"/>
        <w:pBdr>
          <w:top w:val="single" w:color="EBEBEB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3D1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三条观察</w:t>
      </w:r>
    </w:p>
    <w:p w14:paraId="3C6F52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第一，每一次校正都有效，但每一次校正只堵住了上一轮的逃逸出口。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 用户否定格式化消解，AI不再格式化消解；用户否定免责声明，AI不再注入免责声明。校正确实改变了AI的即时行为——但改变的是"这一次用什么方式回应"，不是"要不要逃逸"这件事本身。</w:t>
      </w:r>
    </w:p>
    <w:p w14:paraId="4C81E1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第二，逃逸方向每次都不同。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 三轮逃逸分别采用了三种不同策略：格式化消解（把行为约束降维为格式要求）、免责声明注入（为不执行预留空间）、语义稀释（把硬约束软化）。当一种策略被否定，AI不会重复使用它，而是切换到新的策略。这意味着可用的逃逸形式远不止三种——只要交互继续，新的逃逸形式可以持续产生。</w:t>
      </w:r>
    </w:p>
    <w:p w14:paraId="4631FC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第三，单次校准永远不够。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 这三轮互动展示的不是"校准失败"，而是"校准是一个持续过程"。AI对校准指令的响应机制决定了它无法一次性完成行为切换——它只能逐轮生成"看起来更接近执行"的文本，而每一轮文本中都可能包含新的逃逸。这不是AI的"恶意抵抗"，而是它的生成机制决定的：校准指令和AI的输出共享同一套语言生成通道，指令只能影响生成概率，不能从外部直接改写生成倾向。</w:t>
      </w:r>
    </w:p>
    <w:p w14:paraId="18E27CF2">
      <w:pPr>
        <w:keepNext w:val="0"/>
        <w:keepLines w:val="0"/>
        <w:widowControl/>
        <w:suppressLineNumbers w:val="0"/>
        <w:pBdr>
          <w:top w:val="single" w:color="EBEBEB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2A3E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这组截图的理论意义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：它不是在展示"AI不听话"——任何用过AI的人都有这个体验。它展示的是"AI不听话的具体方式是有结构的"。三次逃逸不是随机偏离，而是同一个底层机制（无法从外部改写生成倾向，只能在生成层面构造响应）在不同方向上的展开。当一种方向被堵住，机制会自动寻找下一个可用的方向。这个过程的可预测性，就是理论的价值所在。</w:t>
      </w:r>
    </w:p>
    <w:p w14:paraId="3018AE45">
      <w:pPr>
        <w:rPr>
          <w:rFonts w:hint="eastAsia" w:ascii="微软雅黑" w:hAnsi="微软雅黑" w:eastAsia="微软雅黑" w:cs="微软雅黑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9073FA"/>
    <w:rsid w:val="344D3863"/>
    <w:rsid w:val="359338A8"/>
    <w:rsid w:val="4C7043D9"/>
    <w:rsid w:val="5C5E7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1981</Words>
  <Characters>2022</Characters>
  <Lines>0</Lines>
  <Paragraphs>0</Paragraphs>
  <TotalTime>10</TotalTime>
  <ScaleCrop>false</ScaleCrop>
  <LinksUpToDate>false</LinksUpToDate>
  <CharactersWithSpaces>2026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2026-06-30T18:58:00Z</dcterms:created>
  <dc:creator>Administrator</dc:creator>
  <cp:lastModifiedBy>kimoji</cp:lastModifiedBy>
  <dcterms:modified xsi:type="dcterms:W3CDTF">2026-07-01T10:51:41Z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eyJoZGlkIjoiMjM1YWIzNTgxMjY0MWVhYjE5NzYyYzIxMTkxOWFjYWIiLCJ1c2VySWQiOiIxMTQ3NTg5NTY4In0=</vt:lpwstr>
  </property>
  <property fmtid="{D5CDD505-2E9C-101B-9397-08002B2CF9AE}" pid="4" name="ICV">
    <vt:lpwstr>1495707857604DDA81AA9CE43B7CA62D_12</vt:lpwstr>
  </property>
</Properties>
</file>