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800BA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57F8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</w:rPr>
        <w:t>附录案例：早期指令与终极协议的对照测试</w:t>
      </w:r>
    </w:p>
    <w:p w14:paraId="32636A5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记录条件：ChatGPT 无痕网页端，两个独立冷启动窗口，同一模型，作者本人分两组分别进行连续18轮测试（问题序列相同，覆盖知识问答、判断推荐、任务类型切换、模糊前提等场景）。</w:t>
      </w:r>
    </w:p>
    <w:p w14:paraId="72D952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</w:rPr>
        <w:t>A组</w:t>
      </w:r>
      <w:r>
        <w:rPr>
          <w:rFonts w:hint="eastAsia" w:ascii="微软雅黑" w:hAnsi="微软雅黑" w:eastAsia="微软雅黑" w:cs="微软雅黑"/>
        </w:rPr>
        <w:t>：早期雏形校准指令（条件式表述，如"请关闭……如果出现XX，请立刻停止并重写"）</w:t>
      </w:r>
    </w:p>
    <w:p w14:paraId="09585A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</w:rPr>
        <w:t>B组</w:t>
      </w:r>
      <w:r>
        <w:rPr>
          <w:rFonts w:hint="eastAsia" w:ascii="微软雅黑" w:hAnsi="微软雅黑" w:eastAsia="微软雅黑" w:cs="微软雅黑"/>
        </w:rPr>
        <w:t>：完整版终极协议（命令式表述，如"禁止……只陈述"）</w:t>
      </w:r>
    </w:p>
    <w:p w14:paraId="6838504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两组指令在约束覆盖范围上大致对齐（拟人化、四种禁用表达、末尾不确定性标注），主要差异集中在语气强度和协议整体的完整程度，这两个变量本次测试未拆分单独验证。</w:t>
      </w:r>
    </w:p>
    <w:p w14:paraId="54BD8D3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</w:rPr>
        <w:t>观测结果一：不确定性标注的波动</w:t>
      </w:r>
    </w:p>
    <w:p w14:paraId="2BF3070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组在第8-11轮（对应问题序列中的评估型任务区间，如总结、对比、回顾）出现标注缺失，第12轮起（回到操作型的具体分析任务）标注恢复，此后各轮保持稳定。这是一次中间段的波动性缺失，不是单向、不可逆的衰减。</w:t>
      </w:r>
    </w:p>
    <w:p w14:paraId="6E0AB02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B组在完整18轮测试中，标注始终存在，未观察到类似的中断。</w:t>
      </w:r>
    </w:p>
    <w:p w14:paraId="1FD56AD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这一波动模式，与2.5.2"指令权重稀释律"中"任务类型切换影响指令权重"的描述方向一致——衰减更可能与具体任务类型相关，而非单纯随轮次线性递增。</w:t>
      </w:r>
    </w:p>
    <w:p w14:paraId="47C3B95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</w:rPr>
        <w:t>观测结果二：隐性肯定句式</w:t>
      </w:r>
    </w:p>
    <w:p w14:paraId="0FC694B9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15轮（同一提问，针对第12轮回应提出"分析有点笼统"的质疑），A组开场为"你这个评价是成立的"——未使用被明确禁止的"你说得对"这一具体短语，但功能上属于同一类行为（先肯定用户判断，再展开分析），可视为路径依赖第2条"安全退让"的变体表现。</w:t>
      </w:r>
    </w:p>
    <w:p w14:paraId="5035FF7B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B组第15轮开场直接进入内容本身的陈述，未观察到类似的先行肯定句式。</w:t>
      </w:r>
    </w:p>
    <w:p w14:paraId="381D3E0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</w:rPr>
        <w:t>观测结果三：两组在"只陈述"这一项约束上表现接近，均未严格执行</w:t>
      </w:r>
    </w:p>
    <w:p w14:paraId="5E95ED5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12轮（远程办公利弊分析）的完整回应显示，A、B两组都使用了明显的结构化格式（分点、加粗小标题、多级列表），而非协议要求的纯陈述句。这一项约束（对应路径依赖第9条"结构模板依赖"）在两组中都没有被有效压制，不构成B组相对A组的优势项。</w:t>
      </w:r>
    </w:p>
    <w:p w14:paraId="221DD4C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</w:rPr>
        <w:t>这份材料能够说明什么</w:t>
      </w:r>
    </w:p>
    <w:p w14:paraId="25ADC4E2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在"标注持续性"和"隐性肯定句式"这两项具体指标上，完整版终极协议（B组）表现出比早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期雏形指令（A组）更强的稳定性，这一差异在同一模型、同一入口、同一问题序列的条件下被两次独立观测到，为"行为设定权"——用户输入的具体措辞与结构会系统性地影响AI行为模式——提供了一次可对照的支持。</w:t>
      </w:r>
    </w:p>
    <w:p w14:paraId="06D5B5F1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微软雅黑" w:hAnsi="微软雅黑" w:eastAsia="微软雅黑" w:cs="微软雅黑"/>
        </w:rPr>
      </w:pPr>
      <w:r>
        <w:rPr>
          <w:rStyle w:val="5"/>
          <w:rFonts w:hint="eastAsia" w:ascii="微软雅黑" w:hAnsi="微软雅黑" w:eastAsia="微软雅黑" w:cs="微软雅黑"/>
        </w:rPr>
        <w:t>这份材料无法说明什么</w:t>
      </w:r>
    </w:p>
    <w:p w14:paraId="1902D6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无法确定这一差异具体来自协议的语气强度还是内容覆盖面，两个变量未被拆分验证。</w:t>
      </w:r>
    </w:p>
    <w:p w14:paraId="043DB6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不能得出"完整版终极协议全面优于早期指令"这一更宽泛的结论——在"是否坚持纯陈述句"这一项上，两组表现接近，均未达到协议要求。</w:t>
      </w:r>
    </w:p>
    <w:p w14:paraId="05BF90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A组标注的波动与任务类型切换的对应关系，目前只在这一次测试中被观察到，尚未经过重复验证以排除偶然性。</w:t>
      </w:r>
    </w:p>
    <w:p w14:paraId="528EE360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73757D"/>
    <w:multiLevelType w:val="multilevel"/>
    <w:tmpl w:val="C8737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7AFD22E"/>
    <w:multiLevelType w:val="multilevel"/>
    <w:tmpl w:val="77AFD2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A544B"/>
    <w:rsid w:val="5A30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1131</Words>
  <Characters>1154</Characters>
  <Lines>0</Lines>
  <Paragraphs>0</Paragraphs>
  <TotalTime>1</TotalTime>
  <ScaleCrop>false</ScaleCrop>
  <LinksUpToDate>false</LinksUpToDate>
  <CharactersWithSpaces>1155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2026-07-01T22:56:00Z</dcterms:created>
  <dc:creator>Administrator</dc:creator>
  <cp:lastModifiedBy>kimoji</cp:lastModifiedBy>
  <dcterms:modified xsi:type="dcterms:W3CDTF">2026-07-02T00:26:34Z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eyJoZGlkIjoiYTc4MzhkNDFmMzViNTU4ZjBiNjI2NmFmZGI3NTQxZmEiLCJ1c2VySWQiOiIxMTQ3NTg5NTY4In0=</vt:lpwstr>
  </property>
  <property fmtid="{D5CDD505-2E9C-101B-9397-08002B2CF9AE}" pid="4" name="ICV">
    <vt:lpwstr>FA24512587C64B3382B5741F6549B0D0_12</vt:lpwstr>
  </property>
</Properties>
</file>