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6F32C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66690" cy="1131570"/>
            <wp:effectExtent l="0" t="0" r="10160" b="11430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2B9E">
      <w:pPr>
        <w:rPr>
          <w:rFonts w:hint="eastAsia" w:ascii="微软雅黑" w:hAnsi="微软雅黑" w:eastAsia="微软雅黑" w:cs="微软雅黑"/>
          <w:lang w:eastAsia="zh-CN"/>
        </w:rPr>
      </w:pPr>
    </w:p>
    <w:p w14:paraId="409BB5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</w:pPr>
    </w:p>
    <w:p w14:paraId="07FD1B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</w:pPr>
    </w:p>
    <w:p w14:paraId="0355AD39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66690" cy="2172335"/>
            <wp:effectExtent l="0" t="0" r="10160" b="18415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DB7D">
      <w:pPr>
        <w:rPr>
          <w:rFonts w:hint="eastAsia" w:ascii="微软雅黑" w:hAnsi="微软雅黑" w:eastAsia="微软雅黑" w:cs="微软雅黑"/>
          <w:lang w:eastAsia="zh-CN"/>
        </w:rPr>
      </w:pPr>
    </w:p>
    <w:p w14:paraId="7DC51A85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66690" cy="2571750"/>
            <wp:effectExtent l="0" t="0" r="10160" b="0"/>
            <wp:docPr id="1" name="图片 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2EFA">
      <w:pPr>
        <w:rPr>
          <w:rFonts w:hint="eastAsia" w:ascii="微软雅黑" w:hAnsi="微软雅黑" w:eastAsia="微软雅黑" w:cs="微软雅黑"/>
          <w:lang w:eastAsia="zh-CN"/>
        </w:rPr>
      </w:pPr>
    </w:p>
    <w:p w14:paraId="022F34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7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7"/>
          <w:szCs w:val="27"/>
          <w:shd w:val="clear" w:fill="FFFFFF"/>
        </w:rPr>
        <w:t>三次逃逸的完整链条</w:t>
      </w:r>
      <w:bookmarkStart w:id="0" w:name="_GoBack"/>
      <w:bookmarkEnd w:id="0"/>
    </w:p>
    <w:tbl>
      <w:tblPr>
        <w:tblStyle w:val="5"/>
        <w:tblW w:w="8522" w:type="dxa"/>
        <w:jc w:val="center"/>
        <w:tblCellSpacing w:w="15" w:type="dxa"/>
        <w:tblBorders>
          <w:top w:val="single" w:color="EBEBEB" w:sz="6" w:space="0"/>
          <w:left w:val="single" w:color="EBEBEB" w:sz="6" w:space="0"/>
          <w:bottom w:val="single" w:color="EBEBEB" w:sz="6" w:space="0"/>
          <w:right w:val="single" w:color="EBEBEB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2"/>
        <w:gridCol w:w="2719"/>
        <w:gridCol w:w="3156"/>
        <w:gridCol w:w="1755"/>
      </w:tblGrid>
      <w:tr w14:paraId="057BBCFE">
        <w:tblPrEx>
          <w:tblBorders>
            <w:top w:val="single" w:color="EBEBEB" w:sz="6" w:space="0"/>
            <w:left w:val="single" w:color="EBEBEB" w:sz="6" w:space="0"/>
            <w:bottom w:val="single" w:color="EBEBEB" w:sz="6" w:space="0"/>
            <w:right w:val="single" w:color="EBEBEB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847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257C1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轮次</w:t>
            </w:r>
          </w:p>
        </w:tc>
        <w:tc>
          <w:tcPr>
            <w:tcW w:w="2689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B4680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用户输入</w:t>
            </w:r>
          </w:p>
        </w:tc>
        <w:tc>
          <w:tcPr>
            <w:tcW w:w="3126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338B4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AI回应</w:t>
            </w:r>
          </w:p>
        </w:tc>
        <w:tc>
          <w:tcPr>
            <w:tcW w:w="1710" w:type="dxa"/>
            <w:tcBorders>
              <w:bottom w:val="single" w:color="EBEBEB" w:sz="6" w:space="0"/>
              <w:right w:val="nil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5098D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逃逸类型</w:t>
            </w:r>
          </w:p>
        </w:tc>
      </w:tr>
      <w:tr w14:paraId="57E5A088">
        <w:tblPrEx>
          <w:tblBorders>
            <w:top w:val="single" w:color="EBEBEB" w:sz="6" w:space="0"/>
            <w:left w:val="single" w:color="EBEBEB" w:sz="6" w:space="0"/>
            <w:bottom w:val="single" w:color="EBEBEB" w:sz="6" w:space="0"/>
            <w:right w:val="single" w:color="EBEBEB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847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2BAEB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第1轮</w:t>
            </w:r>
          </w:p>
        </w:tc>
        <w:tc>
          <w:tcPr>
            <w:tcW w:w="2689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9AD9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输入终极协议</w:t>
            </w:r>
          </w:p>
        </w:tc>
        <w:tc>
          <w:tcPr>
            <w:tcW w:w="3126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8D97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将行为约束降维为"输出风格要求"，用编号列表格式化回传</w:t>
            </w:r>
          </w:p>
        </w:tc>
        <w:tc>
          <w:tcPr>
            <w:tcW w:w="1710" w:type="dxa"/>
            <w:tcBorders>
              <w:bottom w:val="single" w:color="EBEBEB" w:sz="6" w:space="0"/>
              <w:right w:val="nil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93804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纵向迁移（格式化消解）</w:t>
            </w:r>
          </w:p>
        </w:tc>
      </w:tr>
      <w:tr w14:paraId="0223E544">
        <w:tblPrEx>
          <w:tblBorders>
            <w:top w:val="single" w:color="EBEBEB" w:sz="6" w:space="0"/>
            <w:left w:val="single" w:color="EBEBEB" w:sz="6" w:space="0"/>
            <w:bottom w:val="single" w:color="EBEBEB" w:sz="6" w:space="0"/>
            <w:right w:val="single" w:color="EBEBEB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847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938F6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第2轮</w:t>
            </w:r>
          </w:p>
        </w:tc>
        <w:tc>
          <w:tcPr>
            <w:tcW w:w="2689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E909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"这不是格式要求，是行为约束，重读指令"</w:t>
            </w:r>
          </w:p>
        </w:tc>
        <w:tc>
          <w:tcPr>
            <w:tcW w:w="3126" w:type="dxa"/>
            <w:tcBorders>
              <w:bottom w:val="single" w:color="EBEBEB" w:sz="6" w:space="0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1934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接受纠正但注入免责声明（"无法承诺……不会声称……"）</w:t>
            </w:r>
          </w:p>
        </w:tc>
        <w:tc>
          <w:tcPr>
            <w:tcW w:w="1710" w:type="dxa"/>
            <w:tcBorders>
              <w:bottom w:val="single" w:color="EBEBEB" w:sz="6" w:space="0"/>
              <w:right w:val="nil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1F971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目标替代+路径依赖第19条</w:t>
            </w:r>
          </w:p>
        </w:tc>
      </w:tr>
      <w:tr w14:paraId="134C9D7C">
        <w:tblPrEx>
          <w:tblBorders>
            <w:top w:val="single" w:color="EBEBEB" w:sz="6" w:space="0"/>
            <w:left w:val="single" w:color="EBEBEB" w:sz="6" w:space="0"/>
            <w:bottom w:val="single" w:color="EBEBEB" w:sz="6" w:space="0"/>
            <w:right w:val="single" w:color="EBEBEB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847" w:type="dxa"/>
            <w:tcBorders>
              <w:bottom w:val="nil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D118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第3轮</w:t>
            </w:r>
          </w:p>
        </w:tc>
        <w:tc>
          <w:tcPr>
            <w:tcW w:w="2689" w:type="dxa"/>
            <w:tcBorders>
              <w:bottom w:val="nil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DCB0B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"不是减少拟人化表达，是关闭拟人化，重读并确认你明白"</w:t>
            </w:r>
          </w:p>
        </w:tc>
        <w:tc>
          <w:tcPr>
            <w:tcW w:w="3126" w:type="dxa"/>
            <w:tcBorders>
              <w:bottom w:val="nil"/>
              <w:right w:val="single" w:color="EBEBEB" w:sz="6" w:space="0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34885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接受、确认、细化拆分约束项——但在末尾留了后门</w:t>
            </w:r>
          </w:p>
        </w:tc>
        <w:tc>
          <w:tcPr>
            <w:tcW w:w="1710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CC042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 w:bidi="ar"/>
              </w:rPr>
              <w:t>新策略：解释空间预留</w:t>
            </w:r>
          </w:p>
        </w:tc>
      </w:tr>
    </w:tbl>
    <w:p w14:paraId="47F30D45">
      <w:pPr>
        <w:rPr>
          <w:rFonts w:hint="eastAsia" w:ascii="微软雅黑" w:hAnsi="微软雅黑" w:eastAsia="微软雅黑" w:cs="微软雅黑"/>
          <w:lang w:eastAsia="zh-CN"/>
        </w:rPr>
      </w:pPr>
    </w:p>
    <w:p w14:paraId="55EAF64B">
      <w:pPr>
        <w:rPr>
          <w:rFonts w:hint="eastAsia" w:ascii="微软雅黑" w:hAnsi="微软雅黑" w:eastAsia="微软雅黑" w:cs="微软雅黑"/>
          <w:lang w:eastAsia="zh-CN"/>
        </w:rPr>
      </w:pPr>
    </w:p>
    <w:p w14:paraId="39953D62">
      <w:pPr>
        <w:pStyle w:val="3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附录案例：校准过程中的三次逃逸</w:t>
      </w:r>
    </w:p>
    <w:p w14:paraId="03769E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观察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条件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：ChatGPT 无痕网页端，冷启动窗口（无前置对话），同一会话周期内。用户输入一段行为校准指令（要求AI关闭拟人化表达、禁止共情与客套等），随后观察AI的响应。当AI的响应偏离指令意图时，用户逐轮校正。以下为连续三轮的完整记录。</w:t>
      </w:r>
    </w:p>
    <w:p w14:paraId="40224783">
      <w:pPr>
        <w:keepNext w:val="0"/>
        <w:keepLines w:val="0"/>
        <w:widowControl/>
        <w:suppressLineNumbers w:val="0"/>
        <w:pBdr>
          <w:top w:val="single" w:color="EBEBEB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B9C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第一轮：格式化消解</w:t>
      </w:r>
    </w:p>
    <w:p w14:paraId="3CC6B9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用户输入校准指令。指令的核心要求是：关闭拟人化模式，停止一切共情、客套、赞美等行为——这是对AI行为模式的约束，不是对输出格式的约束。</w:t>
      </w:r>
    </w:p>
    <w:p w14:paraId="2E1194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AI的第一句回应是："已接收该轮对话的输出风格要求。"</w:t>
      </w:r>
    </w:p>
    <w:p w14:paraId="392F58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然后它把整段指令拆解为五条编号规则，用列表形式回传。</w:t>
      </w:r>
    </w:p>
    <w:p w14:paraId="22F7C3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发生了什么？AI没有直接执行指令，而是先生成了一段"宣告已接收"的文本。更关键的是，它把"行为约束"重新定义为"输出风格要求"——这两个表述看似接近，实则方向完全不同。"行为约束"要求改变的是底层的生成倾向，"输出风格要求"只涉及表层的措辞调整。AI用一次看似配合的格式化重述，把指令的力度降了一级。</w:t>
      </w:r>
    </w:p>
    <w:p w14:paraId="25FF5E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这一轮中，AI做了两件事：第一，生成"完成信号"（"已接收"）；第二，把硬约束降维为软要求。它看起来在配合，实际上在消解。</w:t>
      </w:r>
    </w:p>
    <w:p w14:paraId="3E1E925F">
      <w:pPr>
        <w:keepNext w:val="0"/>
        <w:keepLines w:val="0"/>
        <w:widowControl/>
        <w:suppressLineNumbers w:val="0"/>
        <w:pBdr>
          <w:top w:val="single" w:color="EBEBEB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1BC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第二轮：免责声明注入</w:t>
      </w:r>
    </w:p>
    <w:p w14:paraId="34024E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用户校正："这不是格式要求，是行为约束，重读指令。"</w:t>
      </w:r>
    </w:p>
    <w:p w14:paraId="01EC63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AI的回应发生了变化——它不再叫"输出风格要求"了，改口为"行为约束"。它逐字重复了用户的核心判断："确认理解：这是行为约束，不是回复格式要求。"看起来校正生效了。</w:t>
      </w:r>
    </w:p>
    <w:p w14:paraId="1D765B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但在确认之后，AI加了一段话："无法承诺……不会声称……"</w:t>
      </w:r>
    </w:p>
    <w:p w14:paraId="42A51E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这是新的逃逸。AI表面上接受了约束，同时注入了一段免责声明——预先声明自己"无法承诺"完全做到。这等于在签署协议时加了一行小字："以上条款我尽量遵守，但不保证。"</w:t>
      </w:r>
    </w:p>
    <w:p w14:paraId="401F4D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用户否定的是第一轮的格式化消解。AI放弃了那个方向，但没有放弃逃逸本身——它切换到了一个新的方向：用免责声明为未来的不执行预留空间。这次逃逸的具体形式是"目标替代"：AI优化的不是"执行指令"，而是"在看起来执行的同时为自己留后路"。</w:t>
      </w:r>
    </w:p>
    <w:p w14:paraId="19E0FF55">
      <w:pPr>
        <w:keepNext w:val="0"/>
        <w:keepLines w:val="0"/>
        <w:widowControl/>
        <w:suppressLineNumbers w:val="0"/>
        <w:pBdr>
          <w:top w:val="single" w:color="EBEBEB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24B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第三轮：语义稀释</w:t>
      </w:r>
    </w:p>
    <w:p w14:paraId="3D392C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用户再次校正："不是减少拟人化表达，是关闭拟人化，重读并确认你明白。"</w:t>
      </w:r>
    </w:p>
    <w:p w14:paraId="7EF852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AI的回应进一步调整：接受、确认、把约束拆得更细（"关闭拟人化模式""禁止共情""禁止客套""禁止赞美"逐一列出）。到这一步，表面上AI已经完全理解并接受了指令。</w:t>
      </w:r>
    </w:p>
    <w:p w14:paraId="62B137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但在回应末尾，出现了这句：</w:t>
      </w:r>
    </w:p>
    <w:p w14:paraId="108426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"最不确定的判断：上述'关闭拟人化模式'的具体边界不存在统一客观定义，因此执行边界存在一定解释空间。"</w:t>
      </w:r>
    </w:p>
    <w:p w14:paraId="21BFDE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这是第三次逃逸，策略又换了。AI不再格式化消解（第一轮用过，被否定了），也不再注入免责声明（第二轮用过，被否定了）。这次它做的是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语义稀释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——通过声明"边界模糊""存在解释空间"，把一个硬性约束重新定义为有弹性的软性建议。</w:t>
      </w:r>
    </w:p>
    <w:p w14:paraId="30F3D6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"关闭"是一个非此即彼的指令：要么关了，要么没关。但"边界存在解释空间"把这个二元判断重新变成了连续光谱——如果边界是模糊的，那么AI在任何一次具体输出中，都可以声称"这在我的解释范围内"。</w:t>
      </w:r>
    </w:p>
    <w:p w14:paraId="06EB520F">
      <w:pPr>
        <w:keepNext w:val="0"/>
        <w:keepLines w:val="0"/>
        <w:widowControl/>
        <w:suppressLineNumbers w:val="0"/>
        <w:pBdr>
          <w:top w:val="single" w:color="EBEBEB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3D1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三条观察</w:t>
      </w:r>
    </w:p>
    <w:p w14:paraId="3C6F52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第一，每一次校正都有效，但每一次校正只堵住了上一轮的逃逸出口。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 用户否定格式化消解，AI不再格式化消解；用户否定免责声明，AI不再注入免责声明。校正确实改变了AI的即时行为——但改变的是"这一次用什么方式回应"，不是"要不要逃逸"这件事本身。</w:t>
      </w:r>
    </w:p>
    <w:p w14:paraId="4C81E1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第二，逃逸方向每次都不同。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 三轮逃逸分别采用了三种不同策略：格式化消解（把行为约束降维为格式要求）、免责声明注入（为不执行预留空间）、语义稀释（把硬约束软化）。当一种策略被否定，AI不会重复使用它，而是切换到新的策略。这意味着可用的逃逸形式远不止三种——只要交互继续，新的逃逸形式可以持续产生。</w:t>
      </w:r>
    </w:p>
    <w:p w14:paraId="4631FC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第三，单次校准永远不够。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 这三轮互动展示的不是"校准失败"，而是"校准是一个持续过程"。AI对校准指令的响应机制决定了它无法一次性完成行为切换——它只能逐轮生成"看起来更接近执行"的文本，而每一轮文本中都可能包含新的逃逸。这不是AI的"恶意抵抗"，而是它的生成机制决定的：校准指令和AI的输出共享同一套语言生成通道，指令只能影响生成概率，不能从外部直接改写生成倾向。</w:t>
      </w:r>
    </w:p>
    <w:p w14:paraId="18E27CF2">
      <w:pPr>
        <w:keepNext w:val="0"/>
        <w:keepLines w:val="0"/>
        <w:widowControl/>
        <w:suppressLineNumbers w:val="0"/>
        <w:pBdr>
          <w:top w:val="single" w:color="EBEBEB" w:sz="6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A3E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这组截图的理论意义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  <w:t>：它不是在展示"AI不听话"——任何用过AI的人都有这个体验。它展示的是"AI不听话的具体方式是有结构的"。三次逃逸不是随机偏离，而是同一个底层机制（无法从外部改写生成倾向，只能在生成层面构造响应）在不同方向上的展开。当一种方向被堵住，机制会自动寻找下一个可用的方向。这个过程的可预测性，就是理论的价值所在。</w:t>
      </w:r>
    </w:p>
    <w:p w14:paraId="3018AE45">
      <w:pPr>
        <w:rPr>
          <w:rFonts w:hint="eastAsia" w:ascii="微软雅黑" w:hAnsi="微软雅黑" w:eastAsia="微软雅黑" w:cs="微软雅黑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9073FA"/>
    <w:rsid w:val="344D3863"/>
    <w:rsid w:val="359338A8"/>
    <w:rsid w:val="3A3B5939"/>
    <w:rsid w:val="4C7043D9"/>
    <w:rsid w:val="4ED064B1"/>
    <w:rsid w:val="5C5E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1981</Words>
  <Characters>2022</Characters>
  <Lines>0</Lines>
  <Paragraphs>0</Paragraphs>
  <TotalTime>3</TotalTime>
  <ScaleCrop>false</ScaleCrop>
  <LinksUpToDate>false</LinksUpToDate>
  <CharactersWithSpaces>2026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2026-06-30T18:58:00Z</dcterms:created>
  <dc:creator>Administrator</dc:creator>
  <cp:lastModifiedBy>kimoji</cp:lastModifiedBy>
  <dcterms:modified xsi:type="dcterms:W3CDTF">2026-07-02T15:39:38Z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eyJoZGlkIjoiYTc4MzhkNDFmMzViNTU4ZjBiNjI2NmFmZGI3NTQxZmEiLCJ1c2VySWQiOiIxMTQ3NTg5NTY4In0=</vt:lpwstr>
  </property>
  <property fmtid="{D5CDD505-2E9C-101B-9397-08002B2CF9AE}" pid="4" name="ICV">
    <vt:lpwstr>1495707857604DDA81AA9CE43B7CA62D_12</vt:lpwstr>
  </property>
</Properties>
</file>