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66666"/>
          <w:sz w:val="18"/>
          <w:szCs w:val="18"/>
        </w:rPr>
        <w:t xml:space="preserve">EPITA Paris · MSc Informatique &amp; Management · Parcours Cybersécurité (MSc2, S3 2026-2027)</w:t>
      </w:r>
    </w:p>
    <w:p>
      <w:pPr>
        <w:spacing w:after="80"/>
      </w:pPr>
      <w:r>
        <w:rPr>
          <w:b/>
          <w:bCs/>
          <w:color w:val="1F3A5F"/>
          <w:sz w:val="40"/>
          <w:szCs w:val="40"/>
        </w:rPr>
        <w:t xml:space="preserve">Note de transmission — Course validation</w:t>
      </w:r>
    </w:p>
    <w:p>
      <w:pPr>
        <w:spacing w:after="120"/>
      </w:pPr>
      <w:r>
        <w:rPr>
          <w:color w:val="444444"/>
          <w:sz w:val="24"/>
          <w:szCs w:val="24"/>
        </w:rPr>
        <w:t xml:space="preserve">Dossier pédagogique COEXCL remis à Mathew DAVIS (Advisor filière Cyber)</w:t>
      </w:r>
    </w:p>
    <w:p>
      <w:pPr>
        <w:pBdr>
          <w:bottom w:val="single" w:color="1F3A5F" w:sz="8" w:space="4"/>
        </w:pBdr>
        <w:spacing w:after="240"/>
      </w:pPr>
      <w:r>
        <w:rPr>
          <w:sz w:val="19"/>
          <w:szCs w:val="19"/>
        </w:rPr>
        <w:t xml:space="preserve">ECUE </w:t>
      </w:r>
      <w:r>
        <w:rPr>
          <w:b/>
          <w:bCs/>
          <w:sz w:val="19"/>
          <w:szCs w:val="19"/>
        </w:rPr>
        <w:t xml:space="preserve">COEXCL</w:t>
      </w:r>
      <w:r>
        <w:rPr>
          <w:sz w:val="19"/>
          <w:szCs w:val="19"/>
        </w:rPr>
        <w:t xml:space="preserve"> — Communication exécutive (C-Level) · 20 h FI · 2 ECTS · Intervenant : Nizam BOURHANI</w:t>
      </w:r>
    </w:p>
    <w:p>
      <w:pPr>
        <w:pStyle w:val="Heading1"/>
      </w:pPr>
      <w:r>
        <w:t xml:space="preserve">Summary for the reviewer (EN)</w:t>
      </w:r>
    </w:p>
    <w:p>
      <w:pPr>
        <w:spacing w:after="120"/>
      </w:pPr>
      <w:r>
        <w:t xml:space="preserve">Dear Mathew, please find below the complete teaching file for </w:t>
      </w:r>
      <w:r>
        <w:rPr>
          <w:b/>
          <w:bCs/>
        </w:rPr>
        <w:t xml:space="preserve">COEXCL – Executive Communication (C-Level)</w:t>
      </w:r>
      <w:r>
        <w:t xml:space="preserve">, 20 h, MSc2 Cyber (FI). The materials are written in French, the language of delivery. This note explains how they map to the syllabus provided by Boris and how the assessments cover every learning outcome.</w:t>
      </w:r>
    </w:p>
    <w:p>
      <w:pPr>
        <w:pStyle w:val="Heading2"/>
      </w:pPr>
      <w:r>
        <w:t xml:space="preserve">Contents of the folder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shd w:fill="1F3A5F" w:color="auto" w:val="clear"/>
            <w:tcMar>
              <w:top w:type="dxa" w:w="60"/>
              <w:left w:type="dxa" w:w="100"/>
              <w:bottom w:type="dxa" w:w="60"/>
              <w:right w:type="dxa" w:w="100"/>
            </w:tcMar>
          </w:tcPr>
          <w:p>
            <w:pPr>
              <w:spacing w:after="40"/>
            </w:pPr>
            <w:r>
              <w:rPr>
                <w:b/>
                <w:bCs/>
                <w:color w:val="FFFFFF"/>
                <w:sz w:val="19"/>
                <w:szCs w:val="19"/>
              </w:rPr>
              <w:t xml:space="preserve">File</w:t>
            </w:r>
          </w:p>
        </w:tc>
        <w:tc>
          <w:tcPr>
            <w:tcW w:type="dxa" w:w="6747"/>
            <w:shd w:fill="1F3A5F" w:color="auto" w:val="clear"/>
            <w:tcMar>
              <w:top w:type="dxa" w:w="60"/>
              <w:left w:type="dxa" w:w="100"/>
              <w:bottom w:type="dxa" w:w="60"/>
              <w:right w:type="dxa" w:w="100"/>
            </w:tcMar>
          </w:tcPr>
          <w:p>
            <w:pPr>
              <w:spacing w:after="40"/>
            </w:pPr>
            <w:r>
              <w:rPr>
                <w:b/>
                <w:bCs/>
                <w:color w:val="FFFFFF"/>
                <w:sz w:val="19"/>
                <w:szCs w:val="19"/>
              </w:rPr>
              <w:t xml:space="preserve">Purpose</w:t>
            </w:r>
          </w:p>
        </w:tc>
      </w:tr>
      <w:tr>
        <w:tc>
          <w:tcPr>
            <w:tcW w:type="dxa" w:w="2891"/>
            <w:tcMar>
              <w:top w:type="dxa" w:w="60"/>
              <w:left w:type="dxa" w:w="100"/>
              <w:bottom w:type="dxa" w:w="60"/>
              <w:right w:type="dxa" w:w="100"/>
            </w:tcMar>
          </w:tcPr>
          <w:p>
            <w:pPr>
              <w:spacing w:after="40"/>
            </w:pPr>
            <w:r>
              <w:rPr>
                <w:sz w:val="19"/>
                <w:szCs w:val="19"/>
              </w:rPr>
              <w:t xml:space="preserve">COEXCL_00_Note_de_transmission</w:t>
            </w:r>
          </w:p>
        </w:tc>
        <w:tc>
          <w:tcPr>
            <w:tcW w:type="dxa" w:w="6747"/>
            <w:tcMar>
              <w:top w:type="dxa" w:w="60"/>
              <w:left w:type="dxa" w:w="100"/>
              <w:bottom w:type="dxa" w:w="60"/>
              <w:right w:type="dxa" w:w="100"/>
            </w:tcMar>
          </w:tcPr>
          <w:p>
            <w:pPr>
              <w:spacing w:after="40"/>
            </w:pPr>
            <w:r>
              <w:rPr>
                <w:sz w:val="19"/>
                <w:szCs w:val="19"/>
              </w:rPr>
              <w:t xml:space="preserve">This note — overview, alignment decisions, open points.</w:t>
            </w:r>
          </w:p>
        </w:tc>
      </w:tr>
      <w:tr>
        <w:tc>
          <w:tcPr>
            <w:tcW w:type="dxa" w:w="2891"/>
            <w:shd w:fill="E8EEF5" w:color="auto" w:val="clear"/>
            <w:tcMar>
              <w:top w:type="dxa" w:w="60"/>
              <w:left w:type="dxa" w:w="100"/>
              <w:bottom w:type="dxa" w:w="60"/>
              <w:right w:type="dxa" w:w="100"/>
            </w:tcMar>
          </w:tcPr>
          <w:p>
            <w:pPr>
              <w:spacing w:after="40"/>
            </w:pPr>
            <w:r>
              <w:rPr>
                <w:sz w:val="19"/>
                <w:szCs w:val="19"/>
              </w:rPr>
              <w:t xml:space="preserve">COEXCL_01_Syllabus_operationnel_et_progression</w:t>
            </w:r>
          </w:p>
        </w:tc>
        <w:tc>
          <w:tcPr>
            <w:tcW w:type="dxa" w:w="6747"/>
            <w:shd w:fill="E8EEF5" w:color="auto" w:val="clear"/>
            <w:tcMar>
              <w:top w:type="dxa" w:w="60"/>
              <w:left w:type="dxa" w:w="100"/>
              <w:bottom w:type="dxa" w:w="60"/>
              <w:right w:type="dxa" w:w="100"/>
            </w:tcMar>
          </w:tcPr>
          <w:p>
            <w:pPr>
              <w:spacing w:after="40"/>
            </w:pPr>
            <w:r>
              <w:rPr>
                <w:sz w:val="19"/>
                <w:szCs w:val="19"/>
              </w:rPr>
              <w:t xml:space="preserve">Operational syllabus: session-by-session plan (20 h), coverage matrix (8 syllabus topics × sessions), learning outcomes × assessments matrix, grading scheme, AI contract, accommodations.</w:t>
            </w:r>
          </w:p>
        </w:tc>
      </w:tr>
      <w:tr>
        <w:tc>
          <w:tcPr>
            <w:tcW w:type="dxa" w:w="2891"/>
            <w:tcMar>
              <w:top w:type="dxa" w:w="60"/>
              <w:left w:type="dxa" w:w="100"/>
              <w:bottom w:type="dxa" w:w="60"/>
              <w:right w:type="dxa" w:w="100"/>
            </w:tcMar>
          </w:tcPr>
          <w:p>
            <w:pPr>
              <w:spacing w:after="40"/>
            </w:pPr>
            <w:r>
              <w:rPr>
                <w:sz w:val="19"/>
                <w:szCs w:val="19"/>
              </w:rPr>
              <w:t xml:space="preserve">COEXCL_02_Guide_animation_Seance1_25-09-2026</w:t>
            </w:r>
          </w:p>
        </w:tc>
        <w:tc>
          <w:tcPr>
            <w:tcW w:type="dxa" w:w="6747"/>
            <w:tcMar>
              <w:top w:type="dxa" w:w="60"/>
              <w:left w:type="dxa" w:w="100"/>
              <w:bottom w:type="dxa" w:w="60"/>
              <w:right w:type="dxa" w:w="100"/>
            </w:tcMar>
          </w:tcPr>
          <w:p>
            <w:pPr>
              <w:spacing w:after="40"/>
            </w:pPr>
            <w:r>
              <w:rPr>
                <w:sz w:val="19"/>
                <w:szCs w:val="19"/>
              </w:rPr>
              <w:t xml:space="preserve">Detailed facilitation guide of session 1 (delivered on 25/09/2026), with case study, SCQA template and peer-feedback grid.</w:t>
            </w:r>
          </w:p>
        </w:tc>
      </w:tr>
      <w:tr>
        <w:tc>
          <w:tcPr>
            <w:tcW w:type="dxa" w:w="2891"/>
            <w:shd w:fill="E8EEF5" w:color="auto" w:val="clear"/>
            <w:tcMar>
              <w:top w:type="dxa" w:w="60"/>
              <w:left w:type="dxa" w:w="100"/>
              <w:bottom w:type="dxa" w:w="60"/>
              <w:right w:type="dxa" w:w="100"/>
            </w:tcMar>
          </w:tcPr>
          <w:p>
            <w:pPr>
              <w:spacing w:after="40"/>
            </w:pPr>
            <w:r>
              <w:rPr>
                <w:sz w:val="19"/>
                <w:szCs w:val="19"/>
              </w:rPr>
              <w:t xml:space="preserve">COEXCL_03_Controle_continu_Rapport_executif</w:t>
            </w:r>
          </w:p>
        </w:tc>
        <w:tc>
          <w:tcPr>
            <w:tcW w:type="dxa" w:w="6747"/>
            <w:shd w:fill="E8EEF5" w:color="auto" w:val="clear"/>
            <w:tcMar>
              <w:top w:type="dxa" w:w="60"/>
              <w:left w:type="dxa" w:w="100"/>
              <w:bottom w:type="dxa" w:w="60"/>
              <w:right w:type="dxa" w:w="100"/>
            </w:tcMar>
          </w:tcPr>
          <w:p>
            <w:pPr>
              <w:spacing w:after="40"/>
            </w:pPr>
            <w:r>
              <w:rPr>
                <w:sz w:val="19"/>
                <w:szCs w:val="19"/>
              </w:rPr>
              <w:t xml:space="preserve">Continuous assessment (30 %): CC1 Executive Flash Note + CC2 Executive Report on a full cyber case, with marking rubrics.</w:t>
            </w:r>
          </w:p>
        </w:tc>
      </w:tr>
      <w:tr>
        <w:tc>
          <w:tcPr>
            <w:tcW w:type="dxa" w:w="2891"/>
            <w:tcMar>
              <w:top w:type="dxa" w:w="60"/>
              <w:left w:type="dxa" w:w="100"/>
              <w:bottom w:type="dxa" w:w="60"/>
              <w:right w:type="dxa" w:w="100"/>
            </w:tcMar>
          </w:tcPr>
          <w:p>
            <w:pPr>
              <w:spacing w:after="40"/>
            </w:pPr>
            <w:r>
              <w:rPr>
                <w:sz w:val="19"/>
                <w:szCs w:val="19"/>
              </w:rPr>
              <w:t xml:space="preserve">COEXCL_04_Examen_final_Pitch_COMEX</w:t>
            </w:r>
          </w:p>
        </w:tc>
        <w:tc>
          <w:tcPr>
            <w:tcW w:type="dxa" w:w="6747"/>
            <w:tcMar>
              <w:top w:type="dxa" w:w="60"/>
              <w:left w:type="dxa" w:w="100"/>
              <w:bottom w:type="dxa" w:w="60"/>
              <w:right w:type="dxa" w:w="100"/>
            </w:tcMar>
          </w:tcPr>
          <w:p>
            <w:pPr>
              <w:spacing w:after="40"/>
            </w:pPr>
            <w:r>
              <w:rPr>
                <w:sz w:val="19"/>
                <w:szCs w:val="19"/>
              </w:rPr>
              <w:t xml:space="preserve">Final exam (50 %): individual 5-minute pitch before a mixed jury + difficult Q&amp;A, 5 scenarios, question bank, rubric.</w:t>
            </w:r>
          </w:p>
        </w:tc>
      </w:tr>
      <w:tr>
        <w:tc>
          <w:tcPr>
            <w:tcW w:type="dxa" w:w="2891"/>
            <w:shd w:fill="E8EEF5" w:color="auto" w:val="clear"/>
            <w:tcMar>
              <w:top w:type="dxa" w:w="60"/>
              <w:left w:type="dxa" w:w="100"/>
              <w:bottom w:type="dxa" w:w="60"/>
              <w:right w:type="dxa" w:w="100"/>
            </w:tcMar>
          </w:tcPr>
          <w:p>
            <w:pPr>
              <w:spacing w:after="40"/>
            </w:pPr>
            <w:r>
              <w:rPr>
                <w:sz w:val="19"/>
                <w:szCs w:val="19"/>
              </w:rPr>
              <w:t xml:space="preserve">COEXCL_05_Epreuve_de_rattrapage</w:t>
            </w:r>
          </w:p>
        </w:tc>
        <w:tc>
          <w:tcPr>
            <w:tcW w:type="dxa" w:w="6747"/>
            <w:shd w:fill="E8EEF5" w:color="auto" w:val="clear"/>
            <w:tcMar>
              <w:top w:type="dxa" w:w="60"/>
              <w:left w:type="dxa" w:w="100"/>
              <w:bottom w:type="dxa" w:w="60"/>
              <w:right w:type="dxa" w:w="100"/>
            </w:tcMar>
          </w:tcPr>
          <w:p>
            <w:pPr>
              <w:spacing w:after="40"/>
            </w:pPr>
            <w:r>
              <w:rPr>
                <w:sz w:val="19"/>
                <w:szCs w:val="19"/>
              </w:rPr>
              <w:t xml:space="preserve">Resit (second session): alternative version with new scenarios, written + oral, rubric.</w:t>
            </w:r>
          </w:p>
        </w:tc>
      </w:tr>
    </w:tbl>
    <w:p>
      <w:pPr>
        <w:spacing w:after="120"/>
      </w:pPr>
    </w:p>
    <w:p>
      <w:pPr>
        <w:pStyle w:val="Heading2"/>
      </w:pPr>
      <w:r>
        <w:t xml:space="preserve">Syllabus coverage</w:t>
      </w:r>
    </w:p>
    <w:p>
      <w:pPr>
        <w:pStyle w:val="ListParagraph"/>
        <w:numPr>
          <w:ilvl w:val="0"/>
          <w:numId w:val="2"/>
        </w:numPr>
        <w:spacing w:after="60"/>
      </w:pPr>
      <w:r>
        <w:t xml:space="preserve">All </w:t>
      </w:r>
      <w:r>
        <w:rPr>
          <w:b/>
          <w:bCs/>
        </w:rPr>
        <w:t xml:space="preserve">8 topics</w:t>
      </w:r>
      <w:r>
        <w:t xml:space="preserve"> of the official syllabus are scheduled and practised (matrix in file 01, section 3).</w:t>
      </w:r>
    </w:p>
    <w:p>
      <w:pPr>
        <w:pStyle w:val="ListParagraph"/>
        <w:numPr>
          <w:ilvl w:val="0"/>
          <w:numId w:val="2"/>
        </w:numPr>
        <w:spacing w:after="60"/>
      </w:pPr>
      <w:r>
        <w:t xml:space="preserve">All </w:t>
      </w:r>
      <w:r>
        <w:rPr>
          <w:b/>
          <w:bCs/>
        </w:rPr>
        <w:t xml:space="preserve">5 learning outcomes</w:t>
      </w:r>
      <w:r>
        <w:t xml:space="preserve"> are assessed at least once by a graded assessment, and 4 of them at least twice (matrix in file 01, section 4).</w:t>
      </w:r>
    </w:p>
    <w:p>
      <w:pPr>
        <w:pStyle w:val="ListParagraph"/>
        <w:numPr>
          <w:ilvl w:val="0"/>
          <w:numId w:val="2"/>
        </w:numPr>
        <w:spacing w:after="60"/>
      </w:pPr>
      <w:r>
        <w:t xml:space="preserve">The bibliography of the syllabus (Minto, Gallo, Duarte) is used explicitly in the sessions; FAIR is used as a bridge with ALCYST for risk quantification.</w:t>
      </w:r>
    </w:p>
    <w:p>
      <w:pPr>
        <w:pStyle w:val="Heading2"/>
      </w:pPr>
      <w:r>
        <w:t xml:space="preserve">Assessment alignment — point to validate</w:t>
      </w:r>
    </w:p>
    <w:p>
      <w:pPr>
        <w:spacing w:after="120"/>
      </w:pPr>
      <w:r>
        <w:t xml:space="preserve">The syllabus states </w:t>
      </w:r>
      <w:r>
        <w:rPr>
          <w:i/>
          <w:iCs/>
        </w:rPr>
        <w:t xml:space="preserve">final pitch 50 % + written executive report 35 % + workshop participation 15 %</w:t>
      </w:r>
      <w:r>
        <w:t xml:space="preserve">, while the Speaker Kit imposes </w:t>
      </w:r>
      <w:r>
        <w:rPr>
          <w:i/>
          <w:iCs/>
        </w:rPr>
        <w:t xml:space="preserve">attendance 20 % (computed by the registrar) + CC 30 % + final 50 %</w:t>
      </w:r>
      <w:r>
        <w:t xml:space="preserve">. I aligned with the Speaker Kit while keeping the syllabus intent:</w:t>
      </w:r>
    </w:p>
    <w:p>
      <w:pPr>
        <w:pStyle w:val="ListParagraph"/>
        <w:numPr>
          <w:ilvl w:val="0"/>
          <w:numId w:val="2"/>
        </w:numPr>
        <w:spacing w:after="60"/>
      </w:pPr>
      <w:r>
        <w:rPr>
          <w:b/>
          <w:bCs/>
        </w:rPr>
        <w:t xml:space="preserve">Final exam 50 %</w:t>
      </w:r>
      <w:r>
        <w:t xml:space="preserve"> = pitch before a mixed jury (unchanged).</w:t>
      </w:r>
    </w:p>
    <w:p>
      <w:pPr>
        <w:pStyle w:val="ListParagraph"/>
        <w:numPr>
          <w:ilvl w:val="0"/>
          <w:numId w:val="2"/>
        </w:numPr>
        <w:spacing w:after="60"/>
      </w:pPr>
      <w:r>
        <w:rPr>
          <w:b/>
          <w:bCs/>
        </w:rPr>
        <w:t xml:space="preserve">CC 30 %</w:t>
      </w:r>
      <w:r>
        <w:t xml:space="preserve"> = written executive deliverables (1/3 Flash Note + 2/3 Executive Report).</w:t>
      </w:r>
    </w:p>
    <w:p>
      <w:pPr>
        <w:pStyle w:val="ListParagraph"/>
        <w:numPr>
          <w:ilvl w:val="0"/>
          <w:numId w:val="2"/>
        </w:numPr>
        <w:spacing w:after="60"/>
      </w:pPr>
      <w:r>
        <w:rPr>
          <w:b/>
          <w:bCs/>
        </w:rPr>
        <w:t xml:space="preserve">Attendance 20 %</w:t>
      </w:r>
      <w:r>
        <w:t xml:space="preserve"> = computed by the registrar; participation is assessed qualitatively in feedback, not as a separate grade.</w:t>
      </w:r>
    </w:p>
    <w:p>
      <w:pPr>
        <w:spacing w:after="120"/>
      </w:pPr>
      <w:r>
        <w:t xml:space="preserve">Please confirm this mapping so the syllabus record can be updated accordingly.</w:t>
      </w:r>
    </w:p>
    <w:p>
      <w:pPr>
        <w:pStyle w:val="Heading2"/>
      </w:pPr>
      <w:r>
        <w:t xml:space="preserve">Open points</w:t>
      </w:r>
    </w:p>
    <w:p>
      <w:pPr>
        <w:pStyle w:val="ListParagraph"/>
        <w:numPr>
          <w:ilvl w:val="0"/>
          <w:numId w:val="2"/>
        </w:numPr>
        <w:spacing w:after="60"/>
      </w:pPr>
      <w:r>
        <w:t xml:space="preserve">Exact dates and durations of sessions 2–4 to be confirmed in Zeus (plan assumes 3 h + 7 h + 7 h + 3 h = 20 h; session 2 on 16/10/2026).</w:t>
      </w:r>
    </w:p>
    <w:p>
      <w:pPr>
        <w:pStyle w:val="ListParagraph"/>
        <w:numPr>
          <w:ilvl w:val="0"/>
          <w:numId w:val="2"/>
        </w:numPr>
        <w:spacing w:after="60"/>
      </w:pPr>
      <w:r>
        <w:t xml:space="preserve">Session 1 was attended by 3 students. The syllabus lists COEXCL as FI only (no APP volume): please confirm whether the work-study students are expected in this module.</w:t>
      </w:r>
    </w:p>
    <w:p>
      <w:pPr>
        <w:pStyle w:val="ListParagraph"/>
        <w:numPr>
          <w:ilvl w:val="0"/>
          <w:numId w:val="2"/>
        </w:numPr>
        <w:spacing w:after="60"/>
      </w:pPr>
      <w:r>
        <w:t xml:space="preserve">Final exam date to be set with the registrar during the exam week; a mixed jury member (you or an industry professional) would be welcome.</w:t>
      </w:r>
    </w:p>
    <w:p>
      <w:pPr>
        <w:pStyle w:val="ListParagraph"/>
        <w:numPr>
          <w:ilvl w:val="0"/>
          <w:numId w:val="2"/>
        </w:numPr>
        <w:spacing w:after="60"/>
      </w:pPr>
      <w:r>
        <w:t xml:space="preserve">Apologies for submitting slightly after the end-of-September target.</w:t>
      </w:r>
    </w:p>
    <w:p>
      <w:pPr>
        <w:pStyle w:val="Heading1"/>
      </w:pPr>
      <w:r>
        <w:t xml:space="preserve">Résumé (FR)</w:t>
      </w:r>
    </w:p>
    <w:p>
      <w:pPr>
        <w:spacing w:after="120"/>
      </w:pPr>
      <w:r>
        <w:t xml:space="preserve">Ce dossier contient le syllabus opérationnel (progression des 20 h et matrices de couverture), le guide de la séance 1, les épreuves de contrôle continu, l’examen final et l’épreuve de rattrapage, avec leurs grilles. La répartition de la note est alignée sur le Kit Intervenant (20 / 30 / 50) ; l’articulation avec la fiche ECUE est proposée ci-dessus pour validation.</w:t>
      </w:r>
    </w:p>
    <w:p/>
    <w:p>
      <w:pPr>
        <w:spacing w:after="120"/>
      </w:pPr>
      <w:r>
        <w:t xml:space="preserve">Nizam BOURHANI — bourhani.a.nizam@gmail.com — aboubakar-nizam.bourhani@epita.fr</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COEXCL · Note de transmission — Course validation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A5F"/>
      <w:sz w:val="30"/>
      <w:szCs w:val="30"/>
    </w:rPr>
  </w:style>
  <w:style w:type="paragraph" w:styleId="Heading2">
    <w:name w:val="Heading 2"/>
    <w:basedOn w:val="Normal"/>
    <w:next w:val="Normal"/>
    <w:qFormat/>
    <w:pPr>
      <w:spacing w:after="100" w:before="240"/>
      <w:outlineLvl w:val="1"/>
    </w:pPr>
    <w:rPr>
      <w:b/>
      <w:bCs/>
      <w:color w:val="1F3A5F"/>
      <w:sz w:val="25"/>
      <w:szCs w:val="25"/>
    </w:rPr>
  </w:style>
  <w:style w:type="paragraph" w:styleId="Heading3">
    <w:name w:val="Heading 3"/>
    <w:basedOn w:val="Normal"/>
    <w:next w:val="Normal"/>
    <w:qFormat/>
    <w:pPr>
      <w:spacing w:after="80" w:before="18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de transmission — Course validation</dc:title>
  <dc:creator>Nizam BOURHANI</dc:creator>
  <cp:lastModifiedBy>Un-named</cp:lastModifiedBy>
  <cp:revision>1</cp:revision>
  <dcterms:created xsi:type="dcterms:W3CDTF">2026-10-06T13:50:08.690Z</dcterms:created>
  <dcterms:modified xsi:type="dcterms:W3CDTF">2026-10-06T13:50:08.699Z</dcterms:modified>
</cp:coreProperties>
</file>

<file path=docProps/custom.xml><?xml version="1.0" encoding="utf-8"?>
<Properties xmlns="http://schemas.openxmlformats.org/officeDocument/2006/custom-properties" xmlns:vt="http://schemas.openxmlformats.org/officeDocument/2006/docPropsVTypes"/>
</file>