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Syllabus opérationnel &amp; progression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Déclinaison de la fiche ECUE officielle en plan de séances, épreuves et matrices de couverture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FI · 2 ECTS · Intervenant : Nizam BOURHANI</w:t>
      </w:r>
    </w:p>
    <w:p>
      <w:pPr>
        <w:pStyle w:val="Heading1"/>
      </w:pPr>
      <w:r>
        <w:t xml:space="preserve">1. Identification et rappel de la fiche ECUE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67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Code / intitulé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COEXCL — Communication exécutive (C-Level)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Volume / crédits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h FI · 2 ECTS · S3 — Automne 2026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Langue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Français (supports et vocabulaire clés aussi en anglais)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Prérequis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Aucun prérequis technique. S’appuie sur ALCYST (alignement cyber / stratégie) et DACYST.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Blocs RNCP42658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BC08 — Communication et leadership · BC07 — Stratégie</w:t>
            </w:r>
          </w:p>
        </w:tc>
      </w:tr>
      <w:tr>
        <w:tc>
          <w:tcPr>
            <w:tcW w:type="dxa" w:w="289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Modalités</w:t>
            </w:r>
          </w:p>
        </w:tc>
        <w:tc>
          <w:tcPr>
            <w:tcW w:type="dxa" w:w="67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Présentiel, format atelier/workshop — 30 % apports, 70 % pratique (mises en situation, jeux de rôle COMEX, feedback vidéo)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Liens SAÉ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Réutilisable dans les 4 SAÉ (Sensibilisation, Feuille de route, TPRM, Géostratégie) pour les restitutions orales et les livrables de synthèse.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Objectifs pédagogiques (fiche ECUE)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Développer les compétences de communication à destination des dirigeants.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Maîtriser l’art du storytelling appliqué à la cybersécurité.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Savoir adapter son message à différentes audiences (techniques vs non-techniques).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Produire des livrables exécutifs de haute qualité (pitch, rapport, note de synthèse).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Prendre la parole en public avec aisance et conviction.</w:t>
      </w:r>
    </w:p>
    <w:p>
      <w:pPr>
        <w:pStyle w:val="Heading2"/>
      </w:pPr>
      <w:r>
        <w:t xml:space="preserve">Acquis d’apprentissage visés (AAV)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8675"/>
      </w:tblGrid>
      <w:tr>
        <w:trPr>
          <w:tblHeader/>
        </w:trPr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867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L’étudiant est capable de…</w:t>
            </w:r>
          </w:p>
        </w:tc>
      </w:tr>
      <w:tr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AAV1</w:t>
            </w:r>
          </w:p>
        </w:tc>
        <w:tc>
          <w:tcPr>
            <w:tcW w:type="dxa" w:w="8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Structurer et délivrer un pitch en 5 minutes devant un public C-Level.</w:t>
            </w:r>
          </w:p>
        </w:tc>
      </w:tr>
      <w:tr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AAV2</w:t>
            </w:r>
          </w:p>
        </w:tc>
        <w:tc>
          <w:tcPr>
            <w:tcW w:type="dxa" w:w="86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Rédiger une note de synthèse exécutive.</w:t>
            </w:r>
          </w:p>
        </w:tc>
      </w:tr>
      <w:tr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AAV3</w:t>
            </w:r>
          </w:p>
        </w:tc>
        <w:tc>
          <w:tcPr>
            <w:tcW w:type="dxa" w:w="8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Adapter une présentation technique pour un public non spécialiste.</w:t>
            </w:r>
          </w:p>
        </w:tc>
      </w:tr>
      <w:tr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AAV4</w:t>
            </w:r>
          </w:p>
        </w:tc>
        <w:tc>
          <w:tcPr>
            <w:tcW w:type="dxa" w:w="86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Gérer les questions difficiles en improvisation.</w:t>
            </w:r>
          </w:p>
        </w:tc>
      </w:tr>
      <w:tr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AAV5</w:t>
            </w:r>
          </w:p>
        </w:tc>
        <w:tc>
          <w:tcPr>
            <w:tcW w:type="dxa" w:w="8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Produire un rapport exécutif de qualité professionnelle.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Progression des 20 heures</w:t>
      </w:r>
    </w:p>
    <w:p>
      <w:pPr>
        <w:pBdr>
          <w:left w:val="single" w:color="E09A2B" w:sz="18" w:space="8"/>
        </w:pBdr>
        <w:shd w:fill="FFF4E0" w:color="auto" w:val="clear"/>
        <w:spacing w:after="160" w:before="120"/>
      </w:pPr>
      <w:r>
        <w:t xml:space="preserve">Répartition proposée : S1 3 h (réalisée le 25/09) · S2 7 h (16/10) · S3 7 h · S4 3 h = 20 h. Dates et durées de S3 et S4 à confirmer dans Zeus ; l’examen final a lieu pendant la semaine d’examens, hors des 20 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2120"/>
        <w:gridCol w:w="4047"/>
        <w:gridCol w:w="2219"/>
      </w:tblGrid>
      <w:tr>
        <w:trPr>
          <w:tblHeader/>
        </w:trPr>
        <w:tc>
          <w:tcPr>
            <w:tcW w:type="dxa" w:w="125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Séance</w:t>
            </w:r>
          </w:p>
        </w:tc>
        <w:tc>
          <w:tcPr>
            <w:tcW w:type="dxa" w:w="212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Thèmes (n° fiche ECUE)</w:t>
            </w:r>
          </w:p>
        </w:tc>
        <w:tc>
          <w:tcPr>
            <w:tcW w:type="dxa" w:w="404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Activités principales</w:t>
            </w:r>
          </w:p>
        </w:tc>
        <w:tc>
          <w:tcPr>
            <w:tcW w:type="dxa" w:w="221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Évaluation / livrable</w:t>
            </w:r>
          </w:p>
        </w:tc>
      </w:tr>
      <w:tr>
        <w:tc>
          <w:tcPr>
            <w:tcW w:type="dxa" w:w="1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S1 · 25/09 · 3 h (réalisée)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Fondamentaux · 3 SCQA · 6 Jargon (intro)</w:t>
            </w:r>
          </w:p>
        </w:tc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Contrat pédagogique et contrat IA · Diagnostic oral « 1 minute chrono » (pitch d’ascenseur au DG) · Apport : 4 préoccupations du C-Level, SCQA, Bottom-Line First (Minto) · Atelier binômes « Cyber-to-Business » (faille CVSS 9.8 sur l’ERP) · 3 pitchs de 2 min + questions COMEX</w:t>
            </w:r>
          </w:p>
        </w:tc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Devoir : Note Flash Exécutive SCQA (CC1)</w:t>
            </w:r>
          </w:p>
        </w:tc>
      </w:tr>
      <w:tr>
        <w:tc>
          <w:tcPr>
            <w:tcW w:type="dxa" w:w="125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S2 · 16/10 · 7 h</w:t>
            </w:r>
          </w:p>
        </w:tc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Storytelling · 6 Audiences · 4 Rapport exécutif · 5 Prise de parole (bases)</w:t>
            </w:r>
          </w:p>
        </w:tc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Retour sur la Note Flash · Storytelling « de l’incident à la décision » · Personas C-Level (CEO, CFO, COO, DPO/Juridique, DRH, Board) : « un message, quatre audiences » · Chiffrer un risque (FAIR simplifié) · Anatomie d’un rapport exécutif (bon vs mauvais) · Lancement du CC2 · Échauffement voix, regard, ancrage</w:t>
            </w:r>
          </w:p>
        </w:tc>
        <w:tc>
          <w:tcPr>
            <w:tcW w:type="dxa" w:w="22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 noté et rendu · Sujet CC2 distribué (rendu sous 14 jours)</w:t>
            </w:r>
          </w:p>
        </w:tc>
      </w:tr>
      <w:tr>
        <w:tc>
          <w:tcPr>
            <w:tcW w:type="dxa" w:w="1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S3 · 7 h (date à confirmer)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 Prise de parole (approfondi) · 7 Questions difficiles &amp; crise · 8 Atelier pitch (tour 1)</w:t>
            </w:r>
          </w:p>
        </w:tc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Gestion du trac, posture, voix (exercices filmés) · Techniques de réponse aux questions difficiles (reformuler, faire le pont, reconnaître, recadrer) · Simulation de cellule de crise « rançongiciel » : point COMEX à H+2 et H+24, message aux collaborateurs · Premier tour de pitchs de 5 min avec débrief vidéo · Publication des 5 scénarios d’examen</w:t>
            </w:r>
          </w:p>
        </w:tc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Feedback formatif individuel · Scénarios d’examen publiés</w:t>
            </w:r>
          </w:p>
        </w:tc>
      </w:tr>
      <w:tr>
        <w:tc>
          <w:tcPr>
            <w:tcW w:type="dxa" w:w="125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S4 · 3 h (date à confirmer)</w:t>
            </w:r>
          </w:p>
        </w:tc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 Atelier pitch : simulation COMEX en conditions réelles</w:t>
            </w:r>
          </w:p>
        </w:tc>
        <w:tc>
          <w:tcPr>
            <w:tcW w:type="dxa" w:w="404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Crash test CoDir » : répétition générale en conditions d’examen (5 min + 7 min de questions, rebondissement inclus) · Feedback croisé avec la grille officielle · Tirage des scénarios · Bilan du module</w:t>
            </w:r>
          </w:p>
        </w:tc>
        <w:tc>
          <w:tcPr>
            <w:tcW w:type="dxa" w:w="221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Tirage du scénario d’examen (au moins 7 jours avant l’épreuve)</w:t>
            </w:r>
          </w:p>
        </w:tc>
      </w:tr>
      <w:tr>
        <w:tc>
          <w:tcPr>
            <w:tcW w:type="dxa" w:w="12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 · semaine d’examens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AAV1 · AAV3 · AAV4</w:t>
            </w:r>
          </w:p>
        </w:tc>
        <w:tc>
          <w:tcPr>
            <w:tcW w:type="dxa" w:w="4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Pitch individuel de 5 min devant un jury mixte + 7 min de questions</w:t>
            </w:r>
          </w:p>
        </w:tc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 final (50 %)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Détail des séances 2 à 4</w:t>
      </w:r>
    </w:p>
    <w:p>
      <w:pPr>
        <w:pStyle w:val="Heading3"/>
      </w:pPr>
      <w:r>
        <w:t xml:space="preserve">Séance 2 — Raconter, adapter, rédiger (7 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5782"/>
        <w:gridCol w:w="2411"/>
      </w:tblGrid>
      <w:tr>
        <w:trPr>
          <w:tblHeader/>
        </w:trPr>
        <w:tc>
          <w:tcPr>
            <w:tcW w:type="dxa" w:w="144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578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241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09:00–09:45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Retour sur les Notes Flash (CC1) : 3 erreurs fréquentes, réécriture collective d’un extrait anonymisé.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Plénière</w:t>
            </w:r>
          </w:p>
        </w:tc>
      </w:tr>
      <w:tr>
        <w:tc>
          <w:tcPr>
            <w:tcW w:type="dxa" w:w="144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09:45–11:00</w:t>
            </w:r>
          </w:p>
        </w:tc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Storytelling cyber : arc « situation → menace → enjeu → décision », l’entreprise comme héros, la donnée qui raconte (Gallo, Duarte). Exercice : transformer un rapport d’incident en récit de 90 s.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Apport + binômes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11:15–12:30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Personas C-Level : ce que chaque dirigeant écoute (CEO = continuité et réputation, CFO = coût et ROI, COO = opérations, DPO/Juridique = conformité, DRH = humain). Atelier « un message, quatre audiences » sur le même incident.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Atelier tournant</w:t>
            </w:r>
          </w:p>
        </w:tc>
      </w:tr>
      <w:tr>
        <w:tc>
          <w:tcPr>
            <w:tcW w:type="dxa" w:w="144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13:30–14:30</w:t>
            </w:r>
          </w:p>
        </w:tc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Chiffrer pour décider : fréquence × impact, fourchettes plutôt que précision, scénarios Go / No-Go (FAIR simplifié, lien avec ALCYST).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Apport + cas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14:30–16:00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rapport exécutif : format (2 pages + 1 tableau de bord), niveau de détail, visuels (KRI, feux tricolores, tendance), erreurs à éviter. Analyse comparée d’un rapport « technique » et d’un rapport « exécutif ». Lancement du CC2.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Apport + analyse</w:t>
            </w:r>
          </w:p>
        </w:tc>
      </w:tr>
      <w:tr>
        <w:tc>
          <w:tcPr>
            <w:tcW w:type="dxa" w:w="144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16:15–17:15</w:t>
            </w:r>
          </w:p>
        </w:tc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Prise de parole (bases) : respiration, débit, regard en « Z », silences. Micro-pitchs de 60 s filmés.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Pratique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17:15–17:30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Synthèse et consignes du CC2.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Plénière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Séance 3 — Tenir la salle, tenir la crise (7 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5782"/>
        <w:gridCol w:w="2411"/>
      </w:tblGrid>
      <w:tr>
        <w:trPr>
          <w:tblHeader/>
        </w:trPr>
        <w:tc>
          <w:tcPr>
            <w:tcW w:type="dxa" w:w="144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578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241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09:00–10:30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Présence exécutive : posture, voix, gestion du trac et du syndrome de l’imposteur. Exercices filmés avec feedback immédiat.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Pratique</w:t>
            </w:r>
          </w:p>
        </w:tc>
      </w:tr>
      <w:tr>
        <w:tc>
          <w:tcPr>
            <w:tcW w:type="dxa" w:w="144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10:45–12:30</w:t>
            </w:r>
          </w:p>
        </w:tc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Questions difficiles : typologie (hostile, piège, hors sujet, « vous auriez dû… »), techniques (écouter, reformuler, répondre en 3 phrases, faire le pont, « je ne sais pas, je reviens vers vous à… »). Entraînement en rafale.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Apport + jeu de rôle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13:30–15:30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Simulation de crise « rançongiciel » : cellule de crise, point COMEX à H+2 (décisions immédiates) puis H+24 (communication interne et externe, autorités). Rôles tournants : RSSI, CEO, DirCom, juriste.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144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15:45–17:15</w:t>
            </w:r>
          </w:p>
        </w:tc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Atelier pitch, tour 1 : pitchs de 5 min sur un sujet libre (ou un sujet de SAÉ), questions du « COMEX » de la classe, débrief vidéo avec la grille d’examen.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17:15–17:30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Publication et explication des 5 scénarios d’examen et de la grille.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Plénière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Séance 4 — Crash test CoDir (3 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5782"/>
        <w:gridCol w:w="2411"/>
      </w:tblGrid>
      <w:tr>
        <w:trPr>
          <w:tblHeader/>
        </w:trPr>
        <w:tc>
          <w:tcPr>
            <w:tcW w:type="dxa" w:w="144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578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241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00:00–02:15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Répétition générale en conditions d’examen : 5 min de pitch + 7 min de questions avec un rebondissement, chronométrés. Feedback croisé avec la grille officielle.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Simulation</w:t>
            </w:r>
          </w:p>
        </w:tc>
      </w:tr>
      <w:tr>
        <w:tc>
          <w:tcPr>
            <w:tcW w:type="dxa" w:w="144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02:15–02:40</w:t>
            </w:r>
          </w:p>
        </w:tc>
        <w:tc>
          <w:tcPr>
            <w:tcW w:type="dxa" w:w="578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Tirage des scénarios d’examen et questions de méthode.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Plénière</w:t>
            </w:r>
          </w:p>
        </w:tc>
      </w:tr>
      <w:tr>
        <w:tc>
          <w:tcPr>
            <w:tcW w:type="dxa" w:w="14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02:40–03:00</w:t>
            </w:r>
          </w:p>
        </w:tc>
        <w:tc>
          <w:tcPr>
            <w:tcW w:type="dxa" w:w="57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Bilan du module (questionnaire à chaud) et rappel des modalités d’examen.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Plénière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Matrice de couverture du contenu de la fiche ECUE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867"/>
        <w:gridCol w:w="867"/>
        <w:gridCol w:w="867"/>
        <w:gridCol w:w="867"/>
        <w:gridCol w:w="2894"/>
      </w:tblGrid>
      <w:tr>
        <w:trPr>
          <w:tblHeader/>
        </w:trPr>
        <w:tc>
          <w:tcPr>
            <w:tcW w:type="dxa" w:w="327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 détaillé (fiche ECUE)</w:t>
            </w:r>
          </w:p>
        </w:tc>
        <w:tc>
          <w:tcPr>
            <w:tcW w:type="dxa" w:w="86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86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86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86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289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Évalué dans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Fondamentaux : clarté, impact, concision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CC1, CC2, Examen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Storytelling en cybersécurité : de l’incident à la décision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89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 (critère B), CC2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Structurer un message : SCQA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 (critère B), Examen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Le rapport exécutif : format, longueur, visuels, niveau de détail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289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CC2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Prise de parole : posture, voix, regard, trac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2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 (critère D)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6. Adaptation à l’audience : personas, jargon, vulgarisation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289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CC1, CC2, Examen</w:t>
            </w:r>
          </w:p>
        </w:tc>
      </w:tr>
      <w:tr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7. Questions difficiles et situations de crise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28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 (critère E, rebondissement)</w:t>
            </w:r>
          </w:p>
        </w:tc>
      </w:tr>
      <w:tr>
        <w:tc>
          <w:tcPr>
            <w:tcW w:type="dxa" w:w="32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8. Atelier pitch : simulation COMEX en conditions réelles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86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289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● thème principal de la séance · ○ thème mobilisé ou réinvesti</w:t>
      </w:r>
    </w:p>
    <w:p>
      <w:pPr>
        <w:pStyle w:val="Heading1"/>
      </w:pPr>
      <w:r>
        <w:t xml:space="preserve">4. Matrice acquis d’apprentissage × évaluations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1349"/>
        <w:gridCol w:w="1349"/>
        <w:gridCol w:w="1542"/>
        <w:gridCol w:w="1929"/>
      </w:tblGrid>
      <w:tr>
        <w:trPr>
          <w:tblHeader/>
        </w:trPr>
        <w:tc>
          <w:tcPr>
            <w:tcW w:type="dxa" w:w="34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Acquis d’apprentissage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CC1 Note Flash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CC2 Rapport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Examen final</w:t>
            </w:r>
          </w:p>
        </w:tc>
        <w:tc>
          <w:tcPr>
            <w:tcW w:type="dxa" w:w="192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Rattrapage</w:t>
            </w:r>
          </w:p>
        </w:tc>
      </w:tr>
      <w:tr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AAV1 — Pitch de 5 min devant un public C-Level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AAV2 — Note de synthèse exécutive</w:t>
            </w: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 (one-pager)</w:t>
            </w:r>
          </w:p>
        </w:tc>
        <w:tc>
          <w:tcPr>
            <w:tcW w:type="dxa" w:w="192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AAV3 — Adapter une présentation technique à un public non spécialiste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AAV4 — Gérer les questions difficiles en improvisation</w:t>
            </w: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542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92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</w:tr>
      <w:tr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AAV5 — Rapport exécutif de qualité professionnelle</w:t>
            </w: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●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● évalué par un critère noté dédié · ○ mobilisé</w:t>
      </w:r>
    </w:p>
    <w:p>
      <w:pPr>
        <w:pStyle w:val="Heading1"/>
      </w:pPr>
      <w:r>
        <w:t xml:space="preserve">5. Modalités d’évaluation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963"/>
        <w:gridCol w:w="4337"/>
        <w:gridCol w:w="2411"/>
      </w:tblGrid>
      <w:tr>
        <w:trPr>
          <w:tblHeader/>
        </w:trPr>
        <w:tc>
          <w:tcPr>
            <w:tcW w:type="dxa" w:w="192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433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Épreuve</w:t>
            </w:r>
          </w:p>
        </w:tc>
        <w:tc>
          <w:tcPr>
            <w:tcW w:type="dxa" w:w="241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Calendrier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Assiduité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Présence effective, calculée par la scolarité à partir des feuilles d’émargement.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Toutes les séances</w:t>
            </w: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Contrôle continu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43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 Note Flash Exécutive SCQA (1/3) + CC2 Rapport exécutif au COMEX (2/3). Voir document 03.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 : rendu le 16/10 · CC2 : sous 14 jours après S2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Examen final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50 %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Pitch individuel de 5 min devant un jury mixte + 7 min de questions difficiles. Voir document 04.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Semaine d’examens (date fixée avec la scolarité)</w:t>
            </w:r>
          </w:p>
        </w:tc>
      </w:tr>
      <w:tr>
        <w:tc>
          <w:tcPr>
            <w:tcW w:type="dxa" w:w="192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Rattrapage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Note de synthèse sur table (2 h) + pitch de 5 min et questions, sur un nouveau scénario. Voir document 05.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2e session</w:t>
            </w:r>
          </w:p>
        </w:tc>
      </w:tr>
    </w:tbl>
    <w:p>
      <w:pPr>
        <w:spacing w:after="120"/>
      </w:pPr>
    </w:p>
    <w:p>
      <w:pPr>
        <w:pBdr>
          <w:left w:val="single" w:color="E09A2B" w:sz="18" w:space="8"/>
        </w:pBdr>
        <w:shd w:fill="FFF4E0" w:color="auto" w:val="clear"/>
        <w:spacing w:after="160" w:before="120"/>
      </w:pPr>
      <w:r>
        <w:t xml:space="preserve">Articulation avec la fiche ECUE (Pitch 50 % / Rapport 35 % / Participation 15 %) : le pitch reste l’épreuve finale à 50 % ; le rapport exécutif constitue l’essentiel du CC (30 %) ; la participation est remplacée par l’assiduité (20 %) calculée par la scolarité, conformément au Kit Intervenant. Proposition à valider par l’Advisor.</w:t>
      </w:r>
    </w:p>
    <w:p>
      <w:pPr>
        <w:spacing w:after="120"/>
      </w:pPr>
      <w:r>
        <w:t xml:space="preserve">Seuil ECUE Ressource : 6/20 (en dessous, rattrapage obligatoire). Notes saisies sur Moodle et transmises à la scolarité dans les 10 jours suivant chaque évaluation.</w:t>
      </w:r>
    </w:p>
    <w:p>
      <w:pPr>
        <w:pStyle w:val="Heading1"/>
      </w:pPr>
      <w:r>
        <w:t xml:space="preserve">6. Contrat IA du module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tblHeader/>
        </w:trPr>
        <w:tc>
          <w:tcPr>
            <w:tcW w:type="dxa" w:w="212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385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6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Raison pédagogique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Brainstorming, recherche d’angles, reformulation d’une phrase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Autorisé, à déclarer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L’IA est un outil de travail courant en entreprise ; la valeur évaluée est le jugement et l’arbitrage.</w:t>
            </w:r>
          </w:p>
        </w:tc>
      </w:tr>
      <w:tr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Correction orthographique et grammaticale</w:t>
            </w:r>
          </w:p>
        </w:tc>
        <w:tc>
          <w:tcPr>
            <w:tcW w:type="dxa" w:w="385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Autorisé</w:t>
            </w:r>
          </w:p>
        </w:tc>
        <w:tc>
          <w:tcPr>
            <w:tcW w:type="dxa" w:w="36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Qualité professionnelle des livrables.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Simulation de questions de COMEX pour s’entraîner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Encouragé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Multiplie les occasions de pratique de l’AAV4.</w:t>
            </w:r>
          </w:p>
        </w:tc>
      </w:tr>
      <w:tr>
        <w:tc>
          <w:tcPr>
            <w:tcW w:type="dxa" w:w="212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Rédaction intégrale de la Note Flash ou du rapport exécutif</w:t>
            </w:r>
          </w:p>
        </w:tc>
        <w:tc>
          <w:tcPr>
            <w:tcW w:type="dxa" w:w="385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Interdit</w:t>
            </w:r>
          </w:p>
        </w:tc>
        <w:tc>
          <w:tcPr>
            <w:tcW w:type="dxa" w:w="36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Les AAV2 et AAV5 évaluent la capacité personnelle de synthèse et de priorisation.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Usage pendant l’oral (prompteur, réponse générée en direct)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Interdit</w:t>
            </w:r>
          </w:p>
        </w:tc>
        <w:tc>
          <w:tcPr>
            <w:tcW w:type="dxa" w:w="3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L’AAV4 évalue l’improvisation.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Chaque livrable écrit comporte une annexe « Déclaration d’usage de l’IA » (outil, usage, part du travail). Tout usage non déclaré dans un travail évalué est traité comme du plagiat (Kit Intervenant).</w:t>
      </w:r>
    </w:p>
    <w:p>
      <w:pPr>
        <w:pStyle w:val="Heading1"/>
      </w:pPr>
      <w:r>
        <w:t xml:space="preserve">7. Aménagements et inclusion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Consignes, grilles et scénarios d’examen publiés à l’avance sur Moodle ; pas d’interrogation surprise. Le principe du rebondissement à l’examen est annoncé et entraîné en S3 et S4.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Supports déposés sur Moodle avant chaque séance.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Travaux de groupe en binômes stables lorsque c’est possible ; possibilité de passer en dernier ou devant un public réduit lors des simulations.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Ces mesures appliquent les aménagements communiqués par la direction des MSc pour l’étudiante concernée et profitent à toute la promotion.</w:t>
      </w:r>
    </w:p>
    <w:p>
      <w:pPr>
        <w:pStyle w:val="Heading1"/>
      </w:pPr>
      <w:r>
        <w:t xml:space="preserve">8. Bibliographie et ressources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Barbara Minto, </w:t>
      </w:r>
      <w:r>
        <w:rPr>
          <w:i/>
          <w:iCs/>
        </w:rPr>
        <w:t xml:space="preserve">The Pyramid Principle</w:t>
      </w:r>
      <w:r>
        <w:t xml:space="preserve">, Pearson, 2008 — structure pyramidale, SCQA (S1, CC1).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Carmine Gallo, </w:t>
      </w:r>
      <w:r>
        <w:rPr>
          <w:i/>
          <w:iCs/>
        </w:rPr>
        <w:t xml:space="preserve">Talk Like TED</w:t>
      </w:r>
      <w:r>
        <w:t xml:space="preserve">, 2014 — storytelling et prise de parole (S2, S3).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Nancy Duarte, </w:t>
      </w:r>
      <w:r>
        <w:rPr>
          <w:i/>
          <w:iCs/>
        </w:rPr>
        <w:t xml:space="preserve">HBR Guide to Persuasive Presentations</w:t>
      </w:r>
      <w:r>
        <w:t xml:space="preserve">, 2012 — adapter son message à l’audience (S2).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FAIR Institute — quantification du risque cyber (S2, lien ALCYST) : fairinstitute.org.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ANSSI — guides « Crise d’origine cyber » et « Organiser un exercice de gestion de crise cyber » (S3).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COEXCL · Syllabus opérationnel &amp; progression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opérationnel &amp; progression</dc:title>
  <dc:creator>Nizam BOURHANI</dc:creator>
  <cp:lastModifiedBy>Un-named</cp:lastModifiedBy>
  <cp:revision>1</cp:revision>
  <dcterms:created xsi:type="dcterms:W3CDTF">2026-10-06T13:50:08.742Z</dcterms:created>
  <dcterms:modified xsi:type="dcterms:W3CDTF">2026-10-06T13:50:08.742Z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