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color w:val="666666"/>
          <w:sz w:val="18"/>
          <w:szCs w:val="18"/>
        </w:rPr>
        <w:t xml:space="preserve">EPITA Paris · MSc Informatique &amp; Management · Parcours Cybersécurité (MSc2, S3 2026-2027)</w:t>
      </w:r>
    </w:p>
    <w:p>
      <w:pPr>
        <w:spacing w:after="80"/>
      </w:pPr>
      <w:r>
        <w:rPr>
          <w:b/>
          <w:bCs/>
          <w:color w:val="1F3A5F"/>
          <w:sz w:val="40"/>
          <w:szCs w:val="40"/>
        </w:rPr>
        <w:t xml:space="preserve">Guide d’animation — Séance 1</w:t>
      </w:r>
    </w:p>
    <w:p>
      <w:pPr>
        <w:spacing w:after="120"/>
      </w:pPr>
      <w:r>
        <w:rPr>
          <w:color w:val="444444"/>
          <w:sz w:val="24"/>
          <w:szCs w:val="24"/>
        </w:rPr>
        <w:t xml:space="preserve">Workshop de lancement &amp; diagnostic · 25 septembre 2026, 9 h – 12 h (3 h) · séance réalisée</w:t>
      </w:r>
    </w:p>
    <w:p>
      <w:pPr>
        <w:pBdr>
          <w:bottom w:val="single" w:color="1F3A5F" w:sz="8" w:space="4"/>
        </w:pBdr>
        <w:spacing w:after="240"/>
      </w:pPr>
      <w:r>
        <w:rPr>
          <w:sz w:val="19"/>
          <w:szCs w:val="19"/>
        </w:rPr>
        <w:t xml:space="preserve">ECUE </w:t>
      </w:r>
      <w:r>
        <w:rPr>
          <w:b/>
          <w:bCs/>
          <w:sz w:val="19"/>
          <w:szCs w:val="19"/>
        </w:rPr>
        <w:t xml:space="preserve">COEXCL</w:t>
      </w:r>
      <w:r>
        <w:rPr>
          <w:sz w:val="19"/>
          <w:szCs w:val="19"/>
        </w:rPr>
        <w:t xml:space="preserve"> — Communication exécutive (C-Level) · 20 h FI · 2 ECTS · Intervenant : Nizam BOURHANI</w:t>
      </w:r>
    </w:p>
    <w:p>
      <w:pPr>
        <w:pStyle w:val="Heading1"/>
      </w:pPr>
      <w:r>
        <w:t xml:space="preserve">Préparation et logistique</w:t>
      </w:r>
    </w:p>
    <w:p>
      <w:pPr>
        <w:pStyle w:val="ListParagraph"/>
        <w:numPr>
          <w:ilvl w:val="0"/>
          <w:numId w:val="2"/>
        </w:numPr>
        <w:spacing w:after="60"/>
      </w:pPr>
      <w:r>
        <w:rPr>
          <w:b/>
          <w:bCs/>
        </w:rPr>
        <w:t xml:space="preserve">Côté formateur :</w:t>
      </w:r>
      <w:r>
        <w:t xml:space="preserve"> diaporama de cadrage (10 diapositives maximum), chronomètre, tableau blanc ou paperboard.</w:t>
      </w:r>
    </w:p>
    <w:p>
      <w:pPr>
        <w:pStyle w:val="ListParagraph"/>
        <w:numPr>
          <w:ilvl w:val="0"/>
          <w:numId w:val="2"/>
        </w:numPr>
        <w:spacing w:after="60"/>
      </w:pPr>
      <w:r>
        <w:rPr>
          <w:b/>
          <w:bCs/>
        </w:rPr>
        <w:t xml:space="preserve">Fiche 1 :</w:t>
      </w:r>
      <w:r>
        <w:t xml:space="preserve"> grille d’observation du diagnostic oral (1 par étudiant).</w:t>
      </w:r>
    </w:p>
    <w:p>
      <w:pPr>
        <w:pStyle w:val="ListParagraph"/>
        <w:numPr>
          <w:ilvl w:val="0"/>
          <w:numId w:val="2"/>
        </w:numPr>
        <w:spacing w:after="60"/>
      </w:pPr>
      <w:r>
        <w:rPr>
          <w:b/>
          <w:bCs/>
        </w:rPr>
        <w:t xml:space="preserve">Fiche 2 :</w:t>
      </w:r>
      <w:r>
        <w:t xml:space="preserve"> étude de cas « Incident cyber » (1 par binôme).</w:t>
      </w:r>
    </w:p>
    <w:p>
      <w:pPr>
        <w:pStyle w:val="ListParagraph"/>
        <w:numPr>
          <w:ilvl w:val="0"/>
          <w:numId w:val="2"/>
        </w:numPr>
        <w:spacing w:after="60"/>
      </w:pPr>
      <w:r>
        <w:rPr>
          <w:b/>
          <w:bCs/>
        </w:rPr>
        <w:t xml:space="preserve">Fiche 3 :</w:t>
      </w:r>
      <w:r>
        <w:t xml:space="preserve"> trame « Note Flash Exécutive SCQA » (1 par binôme).</w:t>
      </w:r>
    </w:p>
    <w:p>
      <w:pPr>
        <w:pStyle w:val="ListParagraph"/>
        <w:numPr>
          <w:ilvl w:val="0"/>
          <w:numId w:val="2"/>
        </w:numPr>
        <w:spacing w:after="60"/>
      </w:pPr>
      <w:r>
        <w:rPr>
          <w:b/>
          <w:bCs/>
        </w:rPr>
        <w:t xml:space="preserve">Fiche 4 :</w:t>
      </w:r>
      <w:r>
        <w:t xml:space="preserve"> grille de feedback entre pairs (1 par étudiant).</w:t>
      </w:r>
    </w:p>
    <w:p>
      <w:pPr>
        <w:pStyle w:val="Heading1"/>
      </w:pPr>
      <w:r>
        <w:t xml:space="preserve">Déroulé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93"/>
        <w:gridCol w:w="6051"/>
        <w:gridCol w:w="1794"/>
      </w:tblGrid>
      <w:tr>
        <w:trPr>
          <w:tblHeader/>
        </w:trPr>
        <w:tc>
          <w:tcPr>
            <w:tcW w:type="dxa" w:w="1793"/>
            <w:shd w:fill="1F3A5F" w:color="auto" w:val="clear"/>
            <w:tcMar>
              <w:top w:type="dxa" w:w="60"/>
              <w:left w:type="dxa" w:w="100"/>
              <w:bottom w:type="dxa" w:w="60"/>
              <w:right w:type="dxa" w:w="100"/>
            </w:tcMar>
          </w:tcPr>
          <w:p>
            <w:pPr>
              <w:spacing w:after="40"/>
            </w:pPr>
            <w:r>
              <w:rPr>
                <w:b/>
                <w:bCs/>
                <w:color w:val="FFFFFF"/>
                <w:sz w:val="19"/>
                <w:szCs w:val="19"/>
              </w:rPr>
              <w:t xml:space="preserve">Horaire</w:t>
            </w:r>
          </w:p>
        </w:tc>
        <w:tc>
          <w:tcPr>
            <w:tcW w:type="dxa" w:w="6051"/>
            <w:shd w:fill="1F3A5F" w:color="auto" w:val="clear"/>
            <w:tcMar>
              <w:top w:type="dxa" w:w="60"/>
              <w:left w:type="dxa" w:w="100"/>
              <w:bottom w:type="dxa" w:w="60"/>
              <w:right w:type="dxa" w:w="100"/>
            </w:tcMar>
          </w:tcPr>
          <w:p>
            <w:pPr>
              <w:spacing w:after="40"/>
            </w:pPr>
            <w:r>
              <w:rPr>
                <w:b/>
                <w:bCs/>
                <w:color w:val="FFFFFF"/>
                <w:sz w:val="19"/>
                <w:szCs w:val="19"/>
              </w:rPr>
              <w:t xml:space="preserve">Séquence et objectif</w:t>
            </w:r>
          </w:p>
        </w:tc>
        <w:tc>
          <w:tcPr>
            <w:tcW w:type="dxa" w:w="1794"/>
            <w:shd w:fill="1F3A5F" w:color="auto" w:val="clear"/>
            <w:tcMar>
              <w:top w:type="dxa" w:w="60"/>
              <w:left w:type="dxa" w:w="100"/>
              <w:bottom w:type="dxa" w:w="60"/>
              <w:right w:type="dxa" w:w="100"/>
            </w:tcMar>
          </w:tcPr>
          <w:p>
            <w:pPr>
              <w:spacing w:after="40"/>
            </w:pPr>
            <w:r>
              <w:rPr>
                <w:b/>
                <w:bCs/>
                <w:color w:val="FFFFFF"/>
                <w:sz w:val="19"/>
                <w:szCs w:val="19"/>
              </w:rPr>
              <w:t xml:space="preserve">Format</w:t>
            </w:r>
          </w:p>
        </w:tc>
      </w:tr>
      <w:tr>
        <w:tc>
          <w:tcPr>
            <w:tcW w:type="dxa" w:w="1793"/>
            <w:tcMar>
              <w:top w:type="dxa" w:w="60"/>
              <w:left w:type="dxa" w:w="100"/>
              <w:bottom w:type="dxa" w:w="60"/>
              <w:right w:type="dxa" w:w="100"/>
            </w:tcMar>
          </w:tcPr>
          <w:p>
            <w:pPr>
              <w:spacing w:after="40"/>
            </w:pPr>
            <w:r>
              <w:rPr>
                <w:sz w:val="19"/>
                <w:szCs w:val="19"/>
              </w:rPr>
              <w:t xml:space="preserve">09:00–09:20</w:t>
            </w:r>
          </w:p>
        </w:tc>
        <w:tc>
          <w:tcPr>
            <w:tcW w:type="dxa" w:w="6051"/>
            <w:tcMar>
              <w:top w:type="dxa" w:w="60"/>
              <w:left w:type="dxa" w:w="100"/>
              <w:bottom w:type="dxa" w:w="60"/>
              <w:right w:type="dxa" w:w="100"/>
            </w:tcMar>
          </w:tcPr>
          <w:p>
            <w:pPr>
              <w:spacing w:after="40"/>
            </w:pPr>
            <w:r>
              <w:rPr>
                <w:sz w:val="19"/>
                <w:szCs w:val="19"/>
              </w:rPr>
              <w:t xml:space="preserve">1. Accueil, cadrage, contrat pédagogique et contrat IA</w:t>
            </w:r>
          </w:p>
        </w:tc>
        <w:tc>
          <w:tcPr>
            <w:tcW w:type="dxa" w:w="1794"/>
            <w:tcMar>
              <w:top w:type="dxa" w:w="60"/>
              <w:left w:type="dxa" w:w="100"/>
              <w:bottom w:type="dxa" w:w="60"/>
              <w:right w:type="dxa" w:w="100"/>
            </w:tcMar>
          </w:tcPr>
          <w:p>
            <w:pPr>
              <w:spacing w:after="40"/>
            </w:pPr>
            <w:r>
              <w:rPr>
                <w:sz w:val="19"/>
                <w:szCs w:val="19"/>
              </w:rPr>
              <w:t xml:space="preserve">Plénière</w:t>
            </w:r>
          </w:p>
        </w:tc>
      </w:tr>
      <w:tr>
        <w:tc>
          <w:tcPr>
            <w:tcW w:type="dxa" w:w="1793"/>
            <w:shd w:fill="E8EEF5" w:color="auto" w:val="clear"/>
            <w:tcMar>
              <w:top w:type="dxa" w:w="60"/>
              <w:left w:type="dxa" w:w="100"/>
              <w:bottom w:type="dxa" w:w="60"/>
              <w:right w:type="dxa" w:w="100"/>
            </w:tcMar>
          </w:tcPr>
          <w:p>
            <w:pPr>
              <w:spacing w:after="40"/>
            </w:pPr>
            <w:r>
              <w:rPr>
                <w:sz w:val="19"/>
                <w:szCs w:val="19"/>
              </w:rPr>
              <w:t xml:space="preserve">09:20–09:55</w:t>
            </w:r>
          </w:p>
        </w:tc>
        <w:tc>
          <w:tcPr>
            <w:tcW w:type="dxa" w:w="6051"/>
            <w:shd w:fill="E8EEF5" w:color="auto" w:val="clear"/>
            <w:tcMar>
              <w:top w:type="dxa" w:w="60"/>
              <w:left w:type="dxa" w:w="100"/>
              <w:bottom w:type="dxa" w:w="60"/>
              <w:right w:type="dxa" w:w="100"/>
            </w:tcMar>
          </w:tcPr>
          <w:p>
            <w:pPr>
              <w:spacing w:after="40"/>
            </w:pPr>
            <w:r>
              <w:rPr>
                <w:sz w:val="19"/>
                <w:szCs w:val="19"/>
              </w:rPr>
              <w:t xml:space="preserve">2. Diagnostic oral « 1 minute chrono »</w:t>
            </w:r>
          </w:p>
        </w:tc>
        <w:tc>
          <w:tcPr>
            <w:tcW w:type="dxa" w:w="1794"/>
            <w:shd w:fill="E8EEF5" w:color="auto" w:val="clear"/>
            <w:tcMar>
              <w:top w:type="dxa" w:w="60"/>
              <w:left w:type="dxa" w:w="100"/>
              <w:bottom w:type="dxa" w:w="60"/>
              <w:right w:type="dxa" w:w="100"/>
            </w:tcMar>
          </w:tcPr>
          <w:p>
            <w:pPr>
              <w:spacing w:after="40"/>
            </w:pPr>
            <w:r>
              <w:rPr>
                <w:sz w:val="19"/>
                <w:szCs w:val="19"/>
              </w:rPr>
              <w:t xml:space="preserve">Individuel</w:t>
            </w:r>
          </w:p>
        </w:tc>
      </w:tr>
      <w:tr>
        <w:tc>
          <w:tcPr>
            <w:tcW w:type="dxa" w:w="1793"/>
            <w:tcMar>
              <w:top w:type="dxa" w:w="60"/>
              <w:left w:type="dxa" w:w="100"/>
              <w:bottom w:type="dxa" w:w="60"/>
              <w:right w:type="dxa" w:w="100"/>
            </w:tcMar>
          </w:tcPr>
          <w:p>
            <w:pPr>
              <w:spacing w:after="40"/>
            </w:pPr>
            <w:r>
              <w:rPr>
                <w:sz w:val="19"/>
                <w:szCs w:val="19"/>
              </w:rPr>
              <w:t xml:space="preserve">09:55–10:30</w:t>
            </w:r>
          </w:p>
        </w:tc>
        <w:tc>
          <w:tcPr>
            <w:tcW w:type="dxa" w:w="6051"/>
            <w:tcMar>
              <w:top w:type="dxa" w:w="60"/>
              <w:left w:type="dxa" w:w="100"/>
              <w:bottom w:type="dxa" w:w="60"/>
              <w:right w:type="dxa" w:w="100"/>
            </w:tcMar>
          </w:tcPr>
          <w:p>
            <w:pPr>
              <w:spacing w:after="40"/>
            </w:pPr>
            <w:r>
              <w:rPr>
                <w:sz w:val="19"/>
                <w:szCs w:val="19"/>
              </w:rPr>
              <w:t xml:space="preserve">3. Apport : décoder le C-Level et la méthode SCQA</w:t>
            </w:r>
          </w:p>
        </w:tc>
        <w:tc>
          <w:tcPr>
            <w:tcW w:type="dxa" w:w="1794"/>
            <w:tcMar>
              <w:top w:type="dxa" w:w="60"/>
              <w:left w:type="dxa" w:w="100"/>
              <w:bottom w:type="dxa" w:w="60"/>
              <w:right w:type="dxa" w:w="100"/>
            </w:tcMar>
          </w:tcPr>
          <w:p>
            <w:pPr>
              <w:spacing w:after="40"/>
            </w:pPr>
            <w:r>
              <w:rPr>
                <w:sz w:val="19"/>
                <w:szCs w:val="19"/>
              </w:rPr>
              <w:t xml:space="preserve">Interactif</w:t>
            </w:r>
          </w:p>
        </w:tc>
      </w:tr>
      <w:tr>
        <w:tc>
          <w:tcPr>
            <w:tcW w:type="dxa" w:w="1793"/>
            <w:shd w:fill="E8EEF5" w:color="auto" w:val="clear"/>
            <w:tcMar>
              <w:top w:type="dxa" w:w="60"/>
              <w:left w:type="dxa" w:w="100"/>
              <w:bottom w:type="dxa" w:w="60"/>
              <w:right w:type="dxa" w:w="100"/>
            </w:tcMar>
          </w:tcPr>
          <w:p>
            <w:pPr>
              <w:spacing w:after="40"/>
            </w:pPr>
            <w:r>
              <w:rPr>
                <w:sz w:val="19"/>
                <w:szCs w:val="19"/>
              </w:rPr>
              <w:t xml:space="preserve">10:30–10:45</w:t>
            </w:r>
          </w:p>
        </w:tc>
        <w:tc>
          <w:tcPr>
            <w:tcW w:type="dxa" w:w="6051"/>
            <w:shd w:fill="E8EEF5" w:color="auto" w:val="clear"/>
            <w:tcMar>
              <w:top w:type="dxa" w:w="60"/>
              <w:left w:type="dxa" w:w="100"/>
              <w:bottom w:type="dxa" w:w="60"/>
              <w:right w:type="dxa" w:w="100"/>
            </w:tcMar>
          </w:tcPr>
          <w:p>
            <w:pPr>
              <w:spacing w:after="40"/>
            </w:pPr>
            <w:r>
              <w:rPr>
                <w:sz w:val="19"/>
                <w:szCs w:val="19"/>
              </w:rPr>
              <w:t xml:space="preserve">Pause</w:t>
            </w:r>
          </w:p>
        </w:tc>
        <w:tc>
          <w:tcPr>
            <w:tcW w:type="dxa" w:w="1794"/>
            <w:shd w:fill="E8EEF5" w:color="auto" w:val="clear"/>
            <w:tcMar>
              <w:top w:type="dxa" w:w="60"/>
              <w:left w:type="dxa" w:w="100"/>
              <w:bottom w:type="dxa" w:w="60"/>
              <w:right w:type="dxa" w:w="100"/>
            </w:tcMar>
          </w:tcPr>
          <w:p>
            <w:pPr>
              <w:spacing w:after="40"/>
            </w:pPr>
            <w:r>
              <w:rPr>
                <w:sz w:val="19"/>
                <w:szCs w:val="19"/>
              </w:rPr>
              <w:t xml:space="preserve">—</w:t>
            </w:r>
          </w:p>
        </w:tc>
      </w:tr>
      <w:tr>
        <w:tc>
          <w:tcPr>
            <w:tcW w:type="dxa" w:w="1793"/>
            <w:tcMar>
              <w:top w:type="dxa" w:w="60"/>
              <w:left w:type="dxa" w:w="100"/>
              <w:bottom w:type="dxa" w:w="60"/>
              <w:right w:type="dxa" w:w="100"/>
            </w:tcMar>
          </w:tcPr>
          <w:p>
            <w:pPr>
              <w:spacing w:after="40"/>
            </w:pPr>
            <w:r>
              <w:rPr>
                <w:sz w:val="19"/>
                <w:szCs w:val="19"/>
              </w:rPr>
              <w:t xml:space="preserve">10:45–11:30</w:t>
            </w:r>
          </w:p>
        </w:tc>
        <w:tc>
          <w:tcPr>
            <w:tcW w:type="dxa" w:w="6051"/>
            <w:tcMar>
              <w:top w:type="dxa" w:w="60"/>
              <w:left w:type="dxa" w:w="100"/>
              <w:bottom w:type="dxa" w:w="60"/>
              <w:right w:type="dxa" w:w="100"/>
            </w:tcMar>
          </w:tcPr>
          <w:p>
            <w:pPr>
              <w:spacing w:after="40"/>
            </w:pPr>
            <w:r>
              <w:rPr>
                <w:sz w:val="19"/>
                <w:szCs w:val="19"/>
              </w:rPr>
              <w:t xml:space="preserve">4. Atelier « Cyber-to-Business »</w:t>
            </w:r>
          </w:p>
        </w:tc>
        <w:tc>
          <w:tcPr>
            <w:tcW w:type="dxa" w:w="1794"/>
            <w:tcMar>
              <w:top w:type="dxa" w:w="60"/>
              <w:left w:type="dxa" w:w="100"/>
              <w:bottom w:type="dxa" w:w="60"/>
              <w:right w:type="dxa" w:w="100"/>
            </w:tcMar>
          </w:tcPr>
          <w:p>
            <w:pPr>
              <w:spacing w:after="40"/>
            </w:pPr>
            <w:r>
              <w:rPr>
                <w:sz w:val="19"/>
                <w:szCs w:val="19"/>
              </w:rPr>
              <w:t xml:space="preserve">Binômes</w:t>
            </w:r>
          </w:p>
        </w:tc>
      </w:tr>
      <w:tr>
        <w:tc>
          <w:tcPr>
            <w:tcW w:type="dxa" w:w="1793"/>
            <w:shd w:fill="E8EEF5" w:color="auto" w:val="clear"/>
            <w:tcMar>
              <w:top w:type="dxa" w:w="60"/>
              <w:left w:type="dxa" w:w="100"/>
              <w:bottom w:type="dxa" w:w="60"/>
              <w:right w:type="dxa" w:w="100"/>
            </w:tcMar>
          </w:tcPr>
          <w:p>
            <w:pPr>
              <w:spacing w:after="40"/>
            </w:pPr>
            <w:r>
              <w:rPr>
                <w:sz w:val="19"/>
                <w:szCs w:val="19"/>
              </w:rPr>
              <w:t xml:space="preserve">11:30–11:55</w:t>
            </w:r>
          </w:p>
        </w:tc>
        <w:tc>
          <w:tcPr>
            <w:tcW w:type="dxa" w:w="6051"/>
            <w:shd w:fill="E8EEF5" w:color="auto" w:val="clear"/>
            <w:tcMar>
              <w:top w:type="dxa" w:w="60"/>
              <w:left w:type="dxa" w:w="100"/>
              <w:bottom w:type="dxa" w:w="60"/>
              <w:right w:type="dxa" w:w="100"/>
            </w:tcMar>
          </w:tcPr>
          <w:p>
            <w:pPr>
              <w:spacing w:after="40"/>
            </w:pPr>
            <w:r>
              <w:rPr>
                <w:sz w:val="19"/>
                <w:szCs w:val="19"/>
              </w:rPr>
              <w:t xml:space="preserve">5. Passages oraux et feedbacks croisés</w:t>
            </w:r>
          </w:p>
        </w:tc>
        <w:tc>
          <w:tcPr>
            <w:tcW w:type="dxa" w:w="1794"/>
            <w:shd w:fill="E8EEF5" w:color="auto" w:val="clear"/>
            <w:tcMar>
              <w:top w:type="dxa" w:w="60"/>
              <w:left w:type="dxa" w:w="100"/>
              <w:bottom w:type="dxa" w:w="60"/>
              <w:right w:type="dxa" w:w="100"/>
            </w:tcMar>
          </w:tcPr>
          <w:p>
            <w:pPr>
              <w:spacing w:after="40"/>
            </w:pPr>
            <w:r>
              <w:rPr>
                <w:sz w:val="19"/>
                <w:szCs w:val="19"/>
              </w:rPr>
              <w:t xml:space="preserve">Simulation</w:t>
            </w:r>
          </w:p>
        </w:tc>
      </w:tr>
      <w:tr>
        <w:tc>
          <w:tcPr>
            <w:tcW w:type="dxa" w:w="1793"/>
            <w:tcMar>
              <w:top w:type="dxa" w:w="60"/>
              <w:left w:type="dxa" w:w="100"/>
              <w:bottom w:type="dxa" w:w="60"/>
              <w:right w:type="dxa" w:w="100"/>
            </w:tcMar>
          </w:tcPr>
          <w:p>
            <w:pPr>
              <w:spacing w:after="40"/>
            </w:pPr>
            <w:r>
              <w:rPr>
                <w:sz w:val="19"/>
                <w:szCs w:val="19"/>
              </w:rPr>
              <w:t xml:space="preserve">11:55–12:00</w:t>
            </w:r>
          </w:p>
        </w:tc>
        <w:tc>
          <w:tcPr>
            <w:tcW w:type="dxa" w:w="6051"/>
            <w:tcMar>
              <w:top w:type="dxa" w:w="60"/>
              <w:left w:type="dxa" w:w="100"/>
              <w:bottom w:type="dxa" w:w="60"/>
              <w:right w:type="dxa" w:w="100"/>
            </w:tcMar>
          </w:tcPr>
          <w:p>
            <w:pPr>
              <w:spacing w:after="40"/>
            </w:pPr>
            <w:r>
              <w:rPr>
                <w:sz w:val="19"/>
                <w:szCs w:val="19"/>
              </w:rPr>
              <w:t xml:space="preserve">6. Synthèse et prochaine étape</w:t>
            </w:r>
          </w:p>
        </w:tc>
        <w:tc>
          <w:tcPr>
            <w:tcW w:type="dxa" w:w="1794"/>
            <w:tcMar>
              <w:top w:type="dxa" w:w="60"/>
              <w:left w:type="dxa" w:w="100"/>
              <w:bottom w:type="dxa" w:w="60"/>
              <w:right w:type="dxa" w:w="100"/>
            </w:tcMar>
          </w:tcPr>
          <w:p>
            <w:pPr>
              <w:spacing w:after="40"/>
            </w:pPr>
            <w:r>
              <w:rPr>
                <w:sz w:val="19"/>
                <w:szCs w:val="19"/>
              </w:rPr>
              <w:t xml:space="preserve">Plénière</w:t>
            </w:r>
          </w:p>
        </w:tc>
      </w:tr>
    </w:tbl>
    <w:p>
      <w:pPr>
        <w:spacing w:after="120"/>
      </w:pPr>
    </w:p>
    <w:p>
      <w:pPr>
        <w:pStyle w:val="Heading2"/>
      </w:pPr>
      <w:r>
        <w:t xml:space="preserve">1. Accueil, cadrage et contrat pédagogique (20 min)</w:t>
      </w:r>
    </w:p>
    <w:p>
      <w:pPr>
        <w:spacing w:after="120"/>
      </w:pPr>
      <w:r>
        <w:t xml:space="preserve">Objectif : poser un cadre de sécurité psychologique, clarifier les règles du jeu et la trajectoire du semestre.</w:t>
      </w:r>
    </w:p>
    <w:p>
      <w:pPr>
        <w:pBdr>
          <w:left w:val="single" w:color="1F3A5F" w:sz="12" w:space="8"/>
        </w:pBdr>
        <w:spacing w:after="120"/>
        <w:ind w:left="400"/>
      </w:pPr>
      <w:r>
        <w:rPr>
          <w:i/>
          <w:iCs/>
        </w:rPr>
        <w:t xml:space="preserve">« Bienvenue dans ce module de communication exécutive. L’objectif n’est pas de faire de vous des comédiens, mais de vous donner les clés pour convaincre des dirigeants (COMEX, CODIR) qui n’ont ni votre expertise technique, ni votre temps. »</w:t>
      </w:r>
    </w:p>
    <w:p>
      <w:pPr>
        <w:pStyle w:val="ListParagraph"/>
        <w:numPr>
          <w:ilvl w:val="0"/>
          <w:numId w:val="2"/>
        </w:numPr>
        <w:spacing w:after="60"/>
      </w:pPr>
      <w:r>
        <w:rPr>
          <w:b/>
          <w:bCs/>
        </w:rPr>
        <w:t xml:space="preserve">Évaluation :</w:t>
      </w:r>
      <w:r>
        <w:t xml:space="preserve"> 20 % assiduité · 30 % contrôle continu (Note Flash Exécutive puis rapport exécutif) · 50 % pitch final de 5 minutes devant un COMEX fictif.</w:t>
      </w:r>
    </w:p>
    <w:p>
      <w:pPr>
        <w:pStyle w:val="ListParagraph"/>
        <w:numPr>
          <w:ilvl w:val="0"/>
          <w:numId w:val="2"/>
        </w:numPr>
        <w:spacing w:after="60"/>
      </w:pPr>
      <w:r>
        <w:rPr>
          <w:b/>
          <w:bCs/>
        </w:rPr>
        <w:t xml:space="preserve">Règle des 30 / 70 :</w:t>
      </w:r>
      <w:r>
        <w:t xml:space="preserve"> 30 % de clés méthodologiques, 70 % de pratique intensive.</w:t>
      </w:r>
    </w:p>
    <w:p>
      <w:pPr>
        <w:pStyle w:val="ListParagraph"/>
        <w:numPr>
          <w:ilvl w:val="0"/>
          <w:numId w:val="2"/>
        </w:numPr>
        <w:spacing w:after="60"/>
      </w:pPr>
      <w:r>
        <w:rPr>
          <w:b/>
          <w:bCs/>
        </w:rPr>
        <w:t xml:space="preserve">Droit à l’erreur :</w:t>
      </w:r>
      <w:r>
        <w:t xml:space="preserve"> la salle est une zone de simulation ; mieux vaut se tromper ici que devant le CEO.</w:t>
      </w:r>
    </w:p>
    <w:p>
      <w:pPr>
        <w:pStyle w:val="ListParagraph"/>
        <w:numPr>
          <w:ilvl w:val="0"/>
          <w:numId w:val="2"/>
        </w:numPr>
        <w:spacing w:after="60"/>
      </w:pPr>
      <w:r>
        <w:rPr>
          <w:b/>
          <w:bCs/>
        </w:rPr>
        <w:t xml:space="preserve">Contrat IA :</w:t>
      </w:r>
      <w:r>
        <w:t xml:space="preserve"> usages autorisés, à déclarer et interdits (voir le syllabus opérationnel, section 6).</w:t>
      </w:r>
    </w:p>
    <w:p>
      <w:pPr>
        <w:pStyle w:val="Heading2"/>
      </w:pPr>
      <w:r>
        <w:t xml:space="preserve">2. Diagnostic oral « 1 minute chrono » (35 min)</w:t>
      </w:r>
    </w:p>
    <w:p>
      <w:pPr>
        <w:spacing w:after="120"/>
      </w:pPr>
      <w:r>
        <w:t xml:space="preserve">Objectif : mesurer à chaud le niveau de concision, de posture et de jargon de chaque étudiant.</w:t>
      </w:r>
    </w:p>
    <w:p>
      <w:pPr>
        <w:pBdr>
          <w:left w:val="single" w:color="1F3A5F" w:sz="12" w:space="8"/>
        </w:pBdr>
        <w:spacing w:after="120"/>
        <w:ind w:left="400"/>
      </w:pPr>
      <w:r>
        <w:rPr>
          <w:i/>
          <w:iCs/>
        </w:rPr>
        <w:t xml:space="preserve">« Vous croisez le Directeur général dans l’ascenseur. Il sait que vous travaillez sur la posture cyber de l’entreprise et vous demande : “Alors, où en est-on sur nos risques informatiques et quelle est votre priorité ?” Vous avez 60 secondes, sans préparation.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shd w:fill="1F3A5F" w:color="auto" w:val="clear"/>
            <w:tcMar>
              <w:top w:type="dxa" w:w="60"/>
              <w:left w:type="dxa" w:w="100"/>
              <w:bottom w:type="dxa" w:w="60"/>
              <w:right w:type="dxa" w:w="100"/>
            </w:tcMar>
          </w:tcPr>
          <w:p>
            <w:pPr>
              <w:spacing w:after="40"/>
            </w:pPr>
            <w:r>
              <w:rPr>
                <w:b/>
                <w:bCs/>
                <w:color w:val="FFFFFF"/>
                <w:sz w:val="19"/>
                <w:szCs w:val="19"/>
              </w:rPr>
              <w:t xml:space="preserve">Écart observé (fiche 1)</w:t>
            </w:r>
          </w:p>
        </w:tc>
        <w:tc>
          <w:tcPr>
            <w:tcW w:type="dxa" w:w="6747"/>
            <w:shd w:fill="1F3A5F" w:color="auto" w:val="clear"/>
            <w:tcMar>
              <w:top w:type="dxa" w:w="60"/>
              <w:left w:type="dxa" w:w="100"/>
              <w:bottom w:type="dxa" w:w="60"/>
              <w:right w:type="dxa" w:w="100"/>
            </w:tcMar>
          </w:tcPr>
          <w:p>
            <w:pPr>
              <w:spacing w:after="40"/>
            </w:pPr>
            <w:r>
              <w:rPr>
                <w:b/>
                <w:bCs/>
                <w:color w:val="FFFFFF"/>
                <w:sz w:val="19"/>
                <w:szCs w:val="19"/>
              </w:rPr>
              <w:t xml:space="preserve">Indicateur</w:t>
            </w:r>
          </w:p>
        </w:tc>
      </w:tr>
      <w:tr>
        <w:tc>
          <w:tcPr>
            <w:tcW w:type="dxa" w:w="2891"/>
            <w:tcMar>
              <w:top w:type="dxa" w:w="60"/>
              <w:left w:type="dxa" w:w="100"/>
              <w:bottom w:type="dxa" w:w="60"/>
              <w:right w:type="dxa" w:w="100"/>
            </w:tcMar>
          </w:tcPr>
          <w:p>
            <w:pPr>
              <w:spacing w:after="40"/>
            </w:pPr>
            <w:r>
              <w:rPr>
                <w:sz w:val="19"/>
                <w:szCs w:val="19"/>
              </w:rPr>
              <w:t xml:space="preserve">Jargon non traduit</w:t>
            </w:r>
          </w:p>
        </w:tc>
        <w:tc>
          <w:tcPr>
            <w:tcW w:type="dxa" w:w="6747"/>
            <w:tcMar>
              <w:top w:type="dxa" w:w="60"/>
              <w:left w:type="dxa" w:w="100"/>
              <w:bottom w:type="dxa" w:w="60"/>
              <w:right w:type="dxa" w:w="100"/>
            </w:tcMar>
          </w:tcPr>
          <w:p>
            <w:pPr>
              <w:spacing w:after="40"/>
            </w:pPr>
            <w:r>
              <w:rPr>
                <w:sz w:val="19"/>
                <w:szCs w:val="19"/>
              </w:rPr>
              <w:t xml:space="preserve">Acronymes ou termes bruts : EDR, SOC, CVE, API, phishing, Active Directory…</w:t>
            </w:r>
          </w:p>
        </w:tc>
      </w:tr>
      <w:tr>
        <w:tc>
          <w:tcPr>
            <w:tcW w:type="dxa" w:w="2891"/>
            <w:shd w:fill="E8EEF5" w:color="auto" w:val="clear"/>
            <w:tcMar>
              <w:top w:type="dxa" w:w="60"/>
              <w:left w:type="dxa" w:w="100"/>
              <w:bottom w:type="dxa" w:w="60"/>
              <w:right w:type="dxa" w:w="100"/>
            </w:tcMar>
          </w:tcPr>
          <w:p>
            <w:pPr>
              <w:spacing w:after="40"/>
            </w:pPr>
            <w:r>
              <w:rPr>
                <w:sz w:val="19"/>
                <w:szCs w:val="19"/>
              </w:rPr>
              <w:t xml:space="preserve">Tunnel d’explications</w:t>
            </w:r>
          </w:p>
        </w:tc>
        <w:tc>
          <w:tcPr>
            <w:tcW w:type="dxa" w:w="6747"/>
            <w:shd w:fill="E8EEF5" w:color="auto" w:val="clear"/>
            <w:tcMar>
              <w:top w:type="dxa" w:w="60"/>
              <w:left w:type="dxa" w:w="100"/>
              <w:bottom w:type="dxa" w:w="60"/>
              <w:right w:type="dxa" w:w="100"/>
            </w:tcMar>
          </w:tcPr>
          <w:p>
            <w:pPr>
              <w:spacing w:after="40"/>
            </w:pPr>
            <w:r>
              <w:rPr>
                <w:sz w:val="19"/>
                <w:szCs w:val="19"/>
              </w:rPr>
              <w:t xml:space="preserve">Commence par le « comment » technique au lieu de la conclusion métier.</w:t>
            </w:r>
          </w:p>
        </w:tc>
      </w:tr>
      <w:tr>
        <w:tc>
          <w:tcPr>
            <w:tcW w:type="dxa" w:w="2891"/>
            <w:tcMar>
              <w:top w:type="dxa" w:w="60"/>
              <w:left w:type="dxa" w:w="100"/>
              <w:bottom w:type="dxa" w:w="60"/>
              <w:right w:type="dxa" w:w="100"/>
            </w:tcMar>
          </w:tcPr>
          <w:p>
            <w:pPr>
              <w:spacing w:after="40"/>
            </w:pPr>
            <w:r>
              <w:rPr>
                <w:sz w:val="19"/>
                <w:szCs w:val="19"/>
              </w:rPr>
              <w:t xml:space="preserve">Posture</w:t>
            </w:r>
          </w:p>
        </w:tc>
        <w:tc>
          <w:tcPr>
            <w:tcW w:type="dxa" w:w="6747"/>
            <w:tcMar>
              <w:top w:type="dxa" w:w="60"/>
              <w:left w:type="dxa" w:w="100"/>
              <w:bottom w:type="dxa" w:w="60"/>
              <w:right w:type="dxa" w:w="100"/>
            </w:tcMar>
          </w:tcPr>
          <w:p>
            <w:pPr>
              <w:spacing w:after="40"/>
            </w:pPr>
            <w:r>
              <w:rPr>
                <w:sz w:val="19"/>
                <w:szCs w:val="19"/>
              </w:rPr>
              <w:t xml:space="preserve">Regard fuyant, hésitations, voix basse, manque d’ancrage.</w:t>
            </w:r>
          </w:p>
        </w:tc>
      </w:tr>
      <w:tr>
        <w:tc>
          <w:tcPr>
            <w:tcW w:type="dxa" w:w="2891"/>
            <w:shd w:fill="E8EEF5" w:color="auto" w:val="clear"/>
            <w:tcMar>
              <w:top w:type="dxa" w:w="60"/>
              <w:left w:type="dxa" w:w="100"/>
              <w:bottom w:type="dxa" w:w="60"/>
              <w:right w:type="dxa" w:w="100"/>
            </w:tcMar>
          </w:tcPr>
          <w:p>
            <w:pPr>
              <w:spacing w:after="40"/>
            </w:pPr>
            <w:r>
              <w:rPr>
                <w:sz w:val="19"/>
                <w:szCs w:val="19"/>
              </w:rPr>
              <w:t xml:space="preserve">Message percutant (positif)</w:t>
            </w:r>
          </w:p>
        </w:tc>
        <w:tc>
          <w:tcPr>
            <w:tcW w:type="dxa" w:w="6747"/>
            <w:shd w:fill="E8EEF5" w:color="auto" w:val="clear"/>
            <w:tcMar>
              <w:top w:type="dxa" w:w="60"/>
              <w:left w:type="dxa" w:w="100"/>
              <w:bottom w:type="dxa" w:w="60"/>
              <w:right w:type="dxa" w:w="100"/>
            </w:tcMar>
          </w:tcPr>
          <w:p>
            <w:pPr>
              <w:spacing w:after="40"/>
            </w:pPr>
            <w:r>
              <w:rPr>
                <w:sz w:val="19"/>
                <w:szCs w:val="19"/>
              </w:rPr>
              <w:t xml:space="preserve">Risque business et action prioritaire annoncés d’emblée.</w:t>
            </w:r>
          </w:p>
        </w:tc>
      </w:tr>
    </w:tbl>
    <w:p>
      <w:pPr>
        <w:spacing w:after="120"/>
      </w:pPr>
    </w:p>
    <w:p>
      <w:pPr>
        <w:spacing w:after="120"/>
      </w:pPr>
      <w:r>
        <w:t xml:space="preserve">Débrief (5 min) : faire verbaliser que l’expert technique se réfugie dans le détail opérationnel au lieu de parler d’impact financier, opérationnel ou réputationnel.</w:t>
      </w:r>
    </w:p>
    <w:p>
      <w:pPr>
        <w:pStyle w:val="Heading2"/>
      </w:pPr>
      <w:r>
        <w:t xml:space="preserve">3. Apport : décoder le C-Level et la méthode SCQA (35 min)</w:t>
      </w:r>
    </w:p>
    <w:p>
      <w:pPr>
        <w:pStyle w:val="Heading3"/>
      </w:pPr>
      <w:r>
        <w:t xml:space="preserve">Les 4 préoccupations d’un dirigeant face à un sujet cyber (10 min)</w:t>
      </w:r>
    </w:p>
    <w:p>
      <w:pPr>
        <w:pStyle w:val="ListParagraph"/>
        <w:numPr>
          <w:ilvl w:val="0"/>
          <w:numId w:val="3"/>
        </w:numPr>
        <w:spacing w:after="60"/>
      </w:pPr>
      <w:r>
        <w:rPr>
          <w:b/>
          <w:bCs/>
        </w:rPr>
        <w:t xml:space="preserve">Continuité d’activité :</w:t>
      </w:r>
      <w:r>
        <w:t xml:space="preserve"> est-ce que le service ou l’usine s’arrête ?</w:t>
      </w:r>
    </w:p>
    <w:p>
      <w:pPr>
        <w:pStyle w:val="ListParagraph"/>
        <w:numPr>
          <w:ilvl w:val="0"/>
          <w:numId w:val="3"/>
        </w:numPr>
        <w:spacing w:after="60"/>
      </w:pPr>
      <w:r>
        <w:rPr>
          <w:b/>
          <w:bCs/>
        </w:rPr>
        <w:t xml:space="preserve">Impact financier :</w:t>
      </w:r>
      <w:r>
        <w:t xml:space="preserve"> combien coûte l’inaction, combien coûte la solution ?</w:t>
      </w:r>
    </w:p>
    <w:p>
      <w:pPr>
        <w:pStyle w:val="ListParagraph"/>
        <w:numPr>
          <w:ilvl w:val="0"/>
          <w:numId w:val="3"/>
        </w:numPr>
        <w:spacing w:after="60"/>
      </w:pPr>
      <w:r>
        <w:rPr>
          <w:b/>
          <w:bCs/>
        </w:rPr>
        <w:t xml:space="preserve">Risque légal et réputation :</w:t>
      </w:r>
      <w:r>
        <w:t xml:space="preserve"> passera-t-on au journal télévisé ? Sanction RGPD ?</w:t>
      </w:r>
    </w:p>
    <w:p>
      <w:pPr>
        <w:pStyle w:val="ListParagraph"/>
        <w:numPr>
          <w:ilvl w:val="0"/>
          <w:numId w:val="3"/>
        </w:numPr>
        <w:spacing w:after="60"/>
      </w:pPr>
      <w:r>
        <w:rPr>
          <w:b/>
          <w:bCs/>
        </w:rPr>
        <w:t xml:space="preserve">ROI et arbitrage :</w:t>
      </w:r>
      <w:r>
        <w:t xml:space="preserve"> pourquoi investir ici plutôt qu’ailleurs ?</w:t>
      </w:r>
    </w:p>
    <w:p>
      <w:pPr>
        <w:pStyle w:val="Heading3"/>
      </w:pPr>
      <w:r>
        <w:t xml:space="preserve">La méthode SCQA (15 min)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tblHeader/>
        </w:trPr>
        <w:tc>
          <w:tcPr>
            <w:tcW w:type="dxa" w:w="2409"/>
            <w:shd w:fill="1F3A5F" w:color="auto" w:val="clear"/>
            <w:tcMar>
              <w:top w:type="dxa" w:w="60"/>
              <w:left w:type="dxa" w:w="100"/>
              <w:bottom w:type="dxa" w:w="60"/>
              <w:right w:type="dxa" w:w="100"/>
            </w:tcMar>
          </w:tcPr>
          <w:p>
            <w:pPr>
              <w:spacing w:after="40"/>
            </w:pPr>
            <w:r>
              <w:rPr>
                <w:b/>
                <w:bCs/>
                <w:color w:val="FFFFFF"/>
                <w:sz w:val="19"/>
                <w:szCs w:val="19"/>
              </w:rPr>
              <w:t xml:space="preserve">Étape</w:t>
            </w:r>
          </w:p>
        </w:tc>
        <w:tc>
          <w:tcPr>
            <w:tcW w:type="dxa" w:w="7229"/>
            <w:shd w:fill="1F3A5F" w:color="auto" w:val="clear"/>
            <w:tcMar>
              <w:top w:type="dxa" w:w="60"/>
              <w:left w:type="dxa" w:w="100"/>
              <w:bottom w:type="dxa" w:w="60"/>
              <w:right w:type="dxa" w:w="100"/>
            </w:tcMar>
          </w:tcPr>
          <w:p>
            <w:pPr>
              <w:spacing w:after="40"/>
            </w:pPr>
            <w:r>
              <w:rPr>
                <w:b/>
                <w:bCs/>
                <w:color w:val="FFFFFF"/>
                <w:sz w:val="19"/>
                <w:szCs w:val="19"/>
              </w:rPr>
              <w:t xml:space="preserve">Ce qu’elle apporte au COMEX</w:t>
            </w:r>
          </w:p>
        </w:tc>
      </w:tr>
      <w:tr>
        <w:tc>
          <w:tcPr>
            <w:tcW w:type="dxa" w:w="2409"/>
            <w:tcMar>
              <w:top w:type="dxa" w:w="60"/>
              <w:left w:type="dxa" w:w="100"/>
              <w:bottom w:type="dxa" w:w="60"/>
              <w:right w:type="dxa" w:w="100"/>
            </w:tcMar>
          </w:tcPr>
          <w:p>
            <w:pPr>
              <w:spacing w:after="40"/>
            </w:pPr>
            <w:r>
              <w:rPr>
                <w:sz w:val="19"/>
                <w:szCs w:val="19"/>
              </w:rPr>
              <w:t xml:space="preserve">S — Situation</w:t>
            </w:r>
          </w:p>
        </w:tc>
        <w:tc>
          <w:tcPr>
            <w:tcW w:type="dxa" w:w="7229"/>
            <w:tcMar>
              <w:top w:type="dxa" w:w="60"/>
              <w:left w:type="dxa" w:w="100"/>
              <w:bottom w:type="dxa" w:w="60"/>
              <w:right w:type="dxa" w:w="100"/>
            </w:tcMar>
          </w:tcPr>
          <w:p>
            <w:pPr>
              <w:spacing w:after="40"/>
            </w:pPr>
            <w:r>
              <w:rPr>
                <w:sz w:val="19"/>
                <w:szCs w:val="19"/>
              </w:rPr>
              <w:t xml:space="preserve">Le cadre métier connu et stable (1 à 2 phrases).</w:t>
            </w:r>
          </w:p>
        </w:tc>
      </w:tr>
      <w:tr>
        <w:tc>
          <w:tcPr>
            <w:tcW w:type="dxa" w:w="2409"/>
            <w:shd w:fill="E8EEF5" w:color="auto" w:val="clear"/>
            <w:tcMar>
              <w:top w:type="dxa" w:w="60"/>
              <w:left w:type="dxa" w:w="100"/>
              <w:bottom w:type="dxa" w:w="60"/>
              <w:right w:type="dxa" w:w="100"/>
            </w:tcMar>
          </w:tcPr>
          <w:p>
            <w:pPr>
              <w:spacing w:after="40"/>
            </w:pPr>
            <w:r>
              <w:rPr>
                <w:sz w:val="19"/>
                <w:szCs w:val="19"/>
              </w:rPr>
              <w:t xml:space="preserve">C — Complication</w:t>
            </w:r>
          </w:p>
        </w:tc>
        <w:tc>
          <w:tcPr>
            <w:tcW w:type="dxa" w:w="7229"/>
            <w:shd w:fill="E8EEF5" w:color="auto" w:val="clear"/>
            <w:tcMar>
              <w:top w:type="dxa" w:w="60"/>
              <w:left w:type="dxa" w:w="100"/>
              <w:bottom w:type="dxa" w:w="60"/>
              <w:right w:type="dxa" w:w="100"/>
            </w:tcMar>
          </w:tcPr>
          <w:p>
            <w:pPr>
              <w:spacing w:after="40"/>
            </w:pPr>
            <w:r>
              <w:rPr>
                <w:sz w:val="19"/>
                <w:szCs w:val="19"/>
              </w:rPr>
              <w:t xml:space="preserve">Le problème ou la menace qui perturbe cette stabilité.</w:t>
            </w:r>
          </w:p>
        </w:tc>
      </w:tr>
      <w:tr>
        <w:tc>
          <w:tcPr>
            <w:tcW w:type="dxa" w:w="2409"/>
            <w:tcMar>
              <w:top w:type="dxa" w:w="60"/>
              <w:left w:type="dxa" w:w="100"/>
              <w:bottom w:type="dxa" w:w="60"/>
              <w:right w:type="dxa" w:w="100"/>
            </w:tcMar>
          </w:tcPr>
          <w:p>
            <w:pPr>
              <w:spacing w:after="40"/>
            </w:pPr>
            <w:r>
              <w:rPr>
                <w:sz w:val="19"/>
                <w:szCs w:val="19"/>
              </w:rPr>
              <w:t xml:space="preserve">Q — Question</w:t>
            </w:r>
          </w:p>
        </w:tc>
        <w:tc>
          <w:tcPr>
            <w:tcW w:type="dxa" w:w="7229"/>
            <w:tcMar>
              <w:top w:type="dxa" w:w="60"/>
              <w:left w:type="dxa" w:w="100"/>
              <w:bottom w:type="dxa" w:w="60"/>
              <w:right w:type="dxa" w:w="100"/>
            </w:tcMar>
          </w:tcPr>
          <w:p>
            <w:pPr>
              <w:spacing w:after="40"/>
            </w:pPr>
            <w:r>
              <w:rPr>
                <w:sz w:val="19"/>
                <w:szCs w:val="19"/>
              </w:rPr>
              <w:t xml:space="preserve">L’arbitrage ou la décision à prendre.</w:t>
            </w:r>
          </w:p>
        </w:tc>
      </w:tr>
      <w:tr>
        <w:tc>
          <w:tcPr>
            <w:tcW w:type="dxa" w:w="2409"/>
            <w:shd w:fill="E8EEF5" w:color="auto" w:val="clear"/>
            <w:tcMar>
              <w:top w:type="dxa" w:w="60"/>
              <w:left w:type="dxa" w:w="100"/>
              <w:bottom w:type="dxa" w:w="60"/>
              <w:right w:type="dxa" w:w="100"/>
            </w:tcMar>
          </w:tcPr>
          <w:p>
            <w:pPr>
              <w:spacing w:after="40"/>
            </w:pPr>
            <w:r>
              <w:rPr>
                <w:sz w:val="19"/>
                <w:szCs w:val="19"/>
              </w:rPr>
              <w:t xml:space="preserve">A — Answer</w:t>
            </w:r>
          </w:p>
        </w:tc>
        <w:tc>
          <w:tcPr>
            <w:tcW w:type="dxa" w:w="7229"/>
            <w:shd w:fill="E8EEF5" w:color="auto" w:val="clear"/>
            <w:tcMar>
              <w:top w:type="dxa" w:w="60"/>
              <w:left w:type="dxa" w:w="100"/>
              <w:bottom w:type="dxa" w:w="60"/>
              <w:right w:type="dxa" w:w="100"/>
            </w:tcMar>
          </w:tcPr>
          <w:p>
            <w:pPr>
              <w:spacing w:after="40"/>
            </w:pPr>
            <w:r>
              <w:rPr>
                <w:sz w:val="19"/>
                <w:szCs w:val="19"/>
              </w:rPr>
              <w:t xml:space="preserve">La recommandation, avec budget et délai.</w:t>
            </w:r>
          </w:p>
        </w:tc>
      </w:tr>
    </w:tbl>
    <w:p>
      <w:pPr>
        <w:spacing w:after="120"/>
      </w:pPr>
    </w:p>
    <w:p>
      <w:pPr>
        <w:pStyle w:val="Heading3"/>
      </w:pPr>
      <w:r>
        <w:t xml:space="preserve">Bottom-Line First — principe de Minto (10 min)</w:t>
      </w:r>
    </w:p>
    <w:p>
      <w:pPr>
        <w:spacing w:after="120"/>
      </w:pPr>
      <w:r>
        <w:t xml:space="preserve">Ne jamais garder la conclusion pour la fin : la recommandation et le besoin financier sont annoncés dans la première minute, les arguments viennent ensuite.</w:t>
      </w:r>
    </w:p>
    <w:p>
      <w:pPr>
        <w:pStyle w:val="Heading2"/>
      </w:pPr>
      <w:r>
        <w:t xml:space="preserve">4. Atelier « Cyber-to-Business » (45 min)</w:t>
      </w:r>
    </w:p>
    <w:p>
      <w:pPr>
        <w:spacing w:after="120"/>
      </w:pPr>
      <w:r>
        <w:t xml:space="preserve">Objectif : transformer un rapport technique brut en note décisionnelle. Travail en binômes.</w:t>
      </w:r>
    </w:p>
    <w:p>
      <w:pPr>
        <w:pStyle w:val="Heading3"/>
      </w:pPr>
      <w:r>
        <w:t xml:space="preserve">Fiche 2 — Étude de cas</w:t>
      </w:r>
    </w:p>
    <w:p>
      <w:pPr>
        <w:pBdr>
          <w:left w:val="single" w:color="1F3A5F" w:sz="12" w:space="8"/>
        </w:pBdr>
        <w:spacing w:after="120"/>
        <w:ind w:left="400"/>
      </w:pPr>
      <w:r>
        <w:rPr>
          <w:i/>
          <w:iCs/>
        </w:rPr>
        <w:t xml:space="preserve">« Lors du dernier scan de vulnérabilités, nos équipes ont identifié une faille critique (CVSS 9.8) sur le serveur de gestion des commandes de notre ERP hébergé en interne. Cette vulnérabilité permet une exécution de code à distance (RCE) sans authentification. Si elle est exploitée, un attaquant peut obtenir un accès root, chiffrer la base de données PostgreSQL ou exfiltrer le fichier des données clients. Un correctif de l’éditeur existe, mais son déploiement nécessite un arrêt programmé de la production de 4 heures et l’intervention en heures non ouvrées d’un prestataire externe estimée à 4 500 €. »</w:t>
      </w:r>
    </w:p>
    <w:p>
      <w:pPr>
        <w:pStyle w:val="ListParagraph"/>
        <w:numPr>
          <w:ilvl w:val="0"/>
          <w:numId w:val="4"/>
        </w:numPr>
        <w:spacing w:after="60"/>
      </w:pPr>
      <w:r>
        <w:rPr>
          <w:b/>
          <w:bCs/>
        </w:rPr>
        <w:t xml:space="preserve">Écrit (30 min) :</w:t>
      </w:r>
      <w:r>
        <w:t xml:space="preserve"> rédiger sur la fiche 3 une Note Flash Exécutive d’une page maximum, structurée en SCQA.</w:t>
      </w:r>
    </w:p>
    <w:p>
      <w:pPr>
        <w:pStyle w:val="ListParagraph"/>
        <w:numPr>
          <w:ilvl w:val="0"/>
          <w:numId w:val="4"/>
        </w:numPr>
        <w:spacing w:after="60"/>
      </w:pPr>
      <w:r>
        <w:rPr>
          <w:b/>
          <w:bCs/>
        </w:rPr>
        <w:t xml:space="preserve">Oral :</w:t>
      </w:r>
      <w:r>
        <w:t xml:space="preserve"> préparer un pitch de 2 minutes pour obtenir du CODIR l’accord sur la coupure de 4 h et l’enveloppe de 4 500 €.</w:t>
      </w:r>
    </w:p>
    <w:p>
      <w:pPr>
        <w:spacing w:after="120"/>
      </w:pPr>
      <w:r>
        <w:t xml:space="preserve">Rôle du formateur (15 min) : circuler, traquer les mots interdits (CVSS, RCE, root, PostgreSQL, patch) et forcer la traduction, par exemple « CVSS 9.8 » devient « risque critique d’arrêt total de la prise de commandes ».</w:t>
      </w:r>
    </w:p>
    <w:p>
      <w:pPr>
        <w:pStyle w:val="Heading2"/>
      </w:pPr>
      <w:r>
        <w:t xml:space="preserve">5. Passages oraux et feedbacks croisés (25 min)</w:t>
      </w:r>
    </w:p>
    <w:p>
      <w:pPr>
        <w:pStyle w:val="ListParagraph"/>
        <w:numPr>
          <w:ilvl w:val="0"/>
          <w:numId w:val="2"/>
        </w:numPr>
        <w:spacing w:after="60"/>
      </w:pPr>
      <w:r>
        <w:rPr>
          <w:b/>
          <w:bCs/>
        </w:rPr>
        <w:t xml:space="preserve">Simulation (15 min) :</w:t>
      </w:r>
      <w:r>
        <w:t xml:space="preserve"> 3 binômes ; un étudiant joue le responsable cyber, la classe joue le COMEX ; pitch de 2 minutes chronométré.</w:t>
      </w:r>
    </w:p>
    <w:p>
      <w:pPr>
        <w:pStyle w:val="ListParagraph"/>
        <w:numPr>
          <w:ilvl w:val="0"/>
          <w:numId w:val="2"/>
        </w:numPr>
        <w:spacing w:after="60"/>
      </w:pPr>
      <w:r>
        <w:rPr>
          <w:b/>
          <w:bCs/>
        </w:rPr>
        <w:t xml:space="preserve">Questions du COMEX (5 min) :</w:t>
      </w:r>
      <w:r>
        <w:t xml:space="preserve"> « Peut-on décaler au mois prochain ? », « N’a-t-on pas une assurance pour ça ? »</w:t>
      </w:r>
    </w:p>
    <w:p>
      <w:pPr>
        <w:pStyle w:val="ListParagraph"/>
        <w:numPr>
          <w:ilvl w:val="0"/>
          <w:numId w:val="2"/>
        </w:numPr>
        <w:spacing w:after="60"/>
      </w:pPr>
      <w:r>
        <w:rPr>
          <w:b/>
          <w:bCs/>
        </w:rPr>
        <w:t xml:space="preserve">Feedback (5 min) :</w:t>
      </w:r>
      <w:r>
        <w:t xml:space="preserve"> un pair donne un point fort et un axe d’amélioration (fiche 4) ; le formateur conclut sur l’accroche et la clarté de la demande.</w:t>
      </w:r>
    </w:p>
    <w:p>
      <w:pPr>
        <w:pStyle w:val="Heading2"/>
      </w:pPr>
      <w:r>
        <w:t xml:space="preserve">6. Synthèse et prochaine étape (5 min)</w:t>
      </w:r>
    </w:p>
    <w:p>
      <w:pPr>
        <w:pStyle w:val="ListParagraph"/>
        <w:numPr>
          <w:ilvl w:val="0"/>
          <w:numId w:val="5"/>
        </w:numPr>
        <w:spacing w:after="60"/>
      </w:pPr>
      <w:r>
        <w:t xml:space="preserve">Toujours commencer par la décision demandée (Bottom-Line First).</w:t>
      </w:r>
    </w:p>
    <w:p>
      <w:pPr>
        <w:pStyle w:val="ListParagraph"/>
        <w:numPr>
          <w:ilvl w:val="0"/>
          <w:numId w:val="5"/>
        </w:numPr>
        <w:spacing w:after="60"/>
      </w:pPr>
      <w:r>
        <w:t xml:space="preserve">Bannir le jargon : parler risque, impact, coût, continuité.</w:t>
      </w:r>
    </w:p>
    <w:p>
      <w:pPr>
        <w:pStyle w:val="ListParagraph"/>
        <w:numPr>
          <w:ilvl w:val="0"/>
          <w:numId w:val="5"/>
        </w:numPr>
        <w:spacing w:after="60"/>
      </w:pPr>
      <w:r>
        <w:t xml:space="preserve">Cadrer le message avec SCQA.</w:t>
      </w:r>
    </w:p>
    <w:p>
      <w:pPr>
        <w:spacing w:after="120"/>
      </w:pPr>
      <w:r>
        <w:rPr>
          <w:b/>
          <w:bCs/>
        </w:rPr>
        <w:t xml:space="preserve">Devoir pour la séance 2 (16 octobre) :</w:t>
      </w:r>
      <w:r>
        <w:t xml:space="preserve"> finaliser la Note Flash Exécutive rédigée pendant l’atelier. Elle constitue la première note de contrôle continu (CC1, voir document 03).</w:t>
      </w:r>
    </w:p>
    <w:p>
      <w:pPr>
        <w:pStyle w:val="Heading1"/>
      </w:pPr>
      <w:r>
        <w:t xml:space="preserve">Annexes imprimables</w:t>
      </w:r>
    </w:p>
    <w:p>
      <w:pPr>
        <w:pStyle w:val="Heading2"/>
      </w:pPr>
      <w:r>
        <w:t xml:space="preserve">Fiche 3 — Trame de Note Flash Exécutive (SCQA)</w:t>
      </w:r>
    </w:p>
    <w:p>
      <w:pPr>
        <w:spacing w:after="0"/>
      </w:pPr>
      <w:r>
        <w:rPr>
          <w:rFonts w:ascii="Consolas" w:cs="Consolas" w:eastAsia="Consolas" w:hAnsi="Consolas"/>
          <w:sz w:val="18"/>
          <w:szCs w:val="18"/>
        </w:rPr>
        <w:t xml:space="preserve">NOTE FLASH EXÉCUTIVE</w:t>
      </w:r>
    </w:p>
    <w:p>
      <w:pPr>
        <w:spacing w:after="0"/>
      </w:pPr>
      <w:r>
        <w:rPr>
          <w:rFonts w:ascii="Consolas" w:cs="Consolas" w:eastAsia="Consolas" w:hAnsi="Consolas"/>
          <w:sz w:val="18"/>
          <w:szCs w:val="18"/>
        </w:rPr>
        <w:t xml:space="preserve">À : Direction générale / membres du COMEX</w:t>
      </w:r>
    </w:p>
    <w:p>
      <w:pPr>
        <w:spacing w:after="0"/>
      </w:pPr>
      <w:r>
        <w:rPr>
          <w:rFonts w:ascii="Consolas" w:cs="Consolas" w:eastAsia="Consolas" w:hAnsi="Consolas"/>
          <w:sz w:val="18"/>
          <w:szCs w:val="18"/>
        </w:rPr>
        <w:t xml:space="preserve">De : [Nom et prénom]</w:t>
      </w:r>
    </w:p>
    <w:p>
      <w:pPr>
        <w:spacing w:after="0"/>
      </w:pPr>
      <w:r>
        <w:rPr>
          <w:rFonts w:ascii="Consolas" w:cs="Consolas" w:eastAsia="Consolas" w:hAnsi="Consolas"/>
          <w:sz w:val="18"/>
          <w:szCs w:val="18"/>
        </w:rPr>
        <w:t xml:space="preserve">Objet : Arbitrage budgétaire d’urgence — sécurisation de l’outil de commande ERP</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1. SITUATION — le rôle stratégique du système concerné (1 à 2 phrases)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2. COMPLICATION — la menace en termes d’impact financier, opérationnel ou réputationnel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3. QUESTION — la décision que le COMEX doit valider aujourd’hui</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4. RECOMMANDATION — solution, budget et planning</w:t>
      </w:r>
    </w:p>
    <w:p>
      <w:pPr>
        <w:spacing w:after="0"/>
      </w:pPr>
      <w:r>
        <w:rPr>
          <w:rFonts w:ascii="Consolas" w:cs="Consolas" w:eastAsia="Consolas" w:hAnsi="Consolas"/>
          <w:sz w:val="18"/>
          <w:szCs w:val="18"/>
        </w:rPr>
        <w:t xml:space="preserve">   → Budget requis : ........ €</w:t>
      </w:r>
    </w:p>
    <w:p>
      <w:pPr>
        <w:spacing w:after="0"/>
      </w:pPr>
      <w:r>
        <w:rPr>
          <w:rFonts w:ascii="Consolas" w:cs="Consolas" w:eastAsia="Consolas" w:hAnsi="Consolas"/>
          <w:sz w:val="18"/>
          <w:szCs w:val="18"/>
        </w:rPr>
        <w:t xml:space="preserve">   → Impact opérationnel : ........</w:t>
      </w:r>
    </w:p>
    <w:p>
      <w:pPr>
        <w:pStyle w:val="Heading2"/>
      </w:pPr>
      <w:r>
        <w:t xml:space="preserve">Fiche 4 — Grille de feedback entre pairs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46"/>
        <w:gridCol w:w="1445"/>
        <w:gridCol w:w="1447"/>
      </w:tblGrid>
      <w:tr>
        <w:trPr>
          <w:tblHeader/>
        </w:trPr>
        <w:tc>
          <w:tcPr>
            <w:tcW w:type="dxa" w:w="6746"/>
            <w:shd w:fill="1F3A5F" w:color="auto" w:val="clear"/>
            <w:tcMar>
              <w:top w:type="dxa" w:w="60"/>
              <w:left w:type="dxa" w:w="100"/>
              <w:bottom w:type="dxa" w:w="60"/>
              <w:right w:type="dxa" w:w="100"/>
            </w:tcMar>
          </w:tcPr>
          <w:p>
            <w:pPr>
              <w:spacing w:after="40"/>
            </w:pPr>
            <w:r>
              <w:rPr>
                <w:b/>
                <w:bCs/>
                <w:color w:val="FFFFFF"/>
                <w:sz w:val="19"/>
                <w:szCs w:val="19"/>
              </w:rPr>
              <w:t xml:space="preserve">Critère</w:t>
            </w:r>
          </w:p>
        </w:tc>
        <w:tc>
          <w:tcPr>
            <w:tcW w:type="dxa" w:w="1445"/>
            <w:shd w:fill="1F3A5F" w:color="auto" w:val="clear"/>
            <w:tcMar>
              <w:top w:type="dxa" w:w="60"/>
              <w:left w:type="dxa" w:w="100"/>
              <w:bottom w:type="dxa" w:w="60"/>
              <w:right w:type="dxa" w:w="100"/>
            </w:tcMar>
          </w:tcPr>
          <w:p>
            <w:pPr>
              <w:spacing w:after="40"/>
            </w:pPr>
            <w:r>
              <w:rPr>
                <w:b/>
                <w:bCs/>
                <w:color w:val="FFFFFF"/>
                <w:sz w:val="19"/>
                <w:szCs w:val="19"/>
              </w:rPr>
              <w:t xml:space="preserve">Validé</w:t>
            </w:r>
          </w:p>
        </w:tc>
        <w:tc>
          <w:tcPr>
            <w:tcW w:type="dxa" w:w="1447"/>
            <w:shd w:fill="1F3A5F" w:color="auto" w:val="clear"/>
            <w:tcMar>
              <w:top w:type="dxa" w:w="60"/>
              <w:left w:type="dxa" w:w="100"/>
              <w:bottom w:type="dxa" w:w="60"/>
              <w:right w:type="dxa" w:w="100"/>
            </w:tcMar>
          </w:tcPr>
          <w:p>
            <w:pPr>
              <w:spacing w:after="40"/>
            </w:pPr>
            <w:r>
              <w:rPr>
                <w:b/>
                <w:bCs/>
                <w:color w:val="FFFFFF"/>
                <w:sz w:val="19"/>
                <w:szCs w:val="19"/>
              </w:rPr>
              <w:t xml:space="preserve">À travailler</w:t>
            </w:r>
          </w:p>
        </w:tc>
      </w:tr>
      <w:tr>
        <w:tc>
          <w:tcPr>
            <w:tcW w:type="dxa" w:w="6746"/>
            <w:tcMar>
              <w:top w:type="dxa" w:w="60"/>
              <w:left w:type="dxa" w:w="100"/>
              <w:bottom w:type="dxa" w:w="60"/>
              <w:right w:type="dxa" w:w="100"/>
            </w:tcMar>
          </w:tcPr>
          <w:p>
            <w:pPr>
              <w:spacing w:after="40"/>
            </w:pPr>
            <w:r>
              <w:rPr>
                <w:sz w:val="19"/>
                <w:szCs w:val="19"/>
              </w:rPr>
              <w:t xml:space="preserve">1. Accroche : demande ou conclusion claire dès 30 secondes ?</w:t>
            </w:r>
          </w:p>
        </w:tc>
        <w:tc>
          <w:tcPr>
            <w:tcW w:type="dxa" w:w="1445"/>
            <w:tcMar>
              <w:top w:type="dxa" w:w="60"/>
              <w:left w:type="dxa" w:w="100"/>
              <w:bottom w:type="dxa" w:w="60"/>
              <w:right w:type="dxa" w:w="100"/>
            </w:tcMar>
          </w:tcPr>
          <w:p>
            <w:pPr>
              <w:spacing w:after="40"/>
            </w:pPr>
            <w:r>
              <w:rPr>
                <w:sz w:val="19"/>
                <w:szCs w:val="19"/>
              </w:rPr>
              <w:t xml:space="preserve">☐</w:t>
            </w:r>
          </w:p>
        </w:tc>
        <w:tc>
          <w:tcPr>
            <w:tcW w:type="dxa" w:w="1447"/>
            <w:tcMar>
              <w:top w:type="dxa" w:w="60"/>
              <w:left w:type="dxa" w:w="100"/>
              <w:bottom w:type="dxa" w:w="60"/>
              <w:right w:type="dxa" w:w="100"/>
            </w:tcMar>
          </w:tcPr>
          <w:p>
            <w:pPr>
              <w:spacing w:after="40"/>
            </w:pPr>
            <w:r>
              <w:rPr>
                <w:sz w:val="19"/>
                <w:szCs w:val="19"/>
              </w:rPr>
              <w:t xml:space="preserve">☐</w:t>
            </w:r>
          </w:p>
        </w:tc>
      </w:tr>
      <w:tr>
        <w:tc>
          <w:tcPr>
            <w:tcW w:type="dxa" w:w="6746"/>
            <w:shd w:fill="E8EEF5" w:color="auto" w:val="clear"/>
            <w:tcMar>
              <w:top w:type="dxa" w:w="60"/>
              <w:left w:type="dxa" w:w="100"/>
              <w:bottom w:type="dxa" w:w="60"/>
              <w:right w:type="dxa" w:w="100"/>
            </w:tcMar>
          </w:tcPr>
          <w:p>
            <w:pPr>
              <w:spacing w:after="40"/>
            </w:pPr>
            <w:r>
              <w:rPr>
                <w:sz w:val="19"/>
                <w:szCs w:val="19"/>
              </w:rPr>
              <w:t xml:space="preserve">2. Vocabulaire : absence de jargon technique ?</w:t>
            </w:r>
          </w:p>
        </w:tc>
        <w:tc>
          <w:tcPr>
            <w:tcW w:type="dxa" w:w="1445"/>
            <w:shd w:fill="E8EEF5" w:color="auto" w:val="clear"/>
            <w:tcMar>
              <w:top w:type="dxa" w:w="60"/>
              <w:left w:type="dxa" w:w="100"/>
              <w:bottom w:type="dxa" w:w="60"/>
              <w:right w:type="dxa" w:w="100"/>
            </w:tcMar>
          </w:tcPr>
          <w:p>
            <w:pPr>
              <w:spacing w:after="40"/>
            </w:pPr>
            <w:r>
              <w:rPr>
                <w:sz w:val="19"/>
                <w:szCs w:val="19"/>
              </w:rPr>
              <w:t xml:space="preserve">☐</w:t>
            </w:r>
          </w:p>
        </w:tc>
        <w:tc>
          <w:tcPr>
            <w:tcW w:type="dxa" w:w="1447"/>
            <w:shd w:fill="E8EEF5" w:color="auto" w:val="clear"/>
            <w:tcMar>
              <w:top w:type="dxa" w:w="60"/>
              <w:left w:type="dxa" w:w="100"/>
              <w:bottom w:type="dxa" w:w="60"/>
              <w:right w:type="dxa" w:w="100"/>
            </w:tcMar>
          </w:tcPr>
          <w:p>
            <w:pPr>
              <w:spacing w:after="40"/>
            </w:pPr>
            <w:r>
              <w:rPr>
                <w:sz w:val="19"/>
                <w:szCs w:val="19"/>
              </w:rPr>
              <w:t xml:space="preserve">☐</w:t>
            </w:r>
          </w:p>
        </w:tc>
      </w:tr>
      <w:tr>
        <w:tc>
          <w:tcPr>
            <w:tcW w:type="dxa" w:w="6746"/>
            <w:tcMar>
              <w:top w:type="dxa" w:w="60"/>
              <w:left w:type="dxa" w:w="100"/>
              <w:bottom w:type="dxa" w:w="60"/>
              <w:right w:type="dxa" w:w="100"/>
            </w:tcMar>
          </w:tcPr>
          <w:p>
            <w:pPr>
              <w:spacing w:after="40"/>
            </w:pPr>
            <w:r>
              <w:rPr>
                <w:sz w:val="19"/>
                <w:szCs w:val="19"/>
              </w:rPr>
              <w:t xml:space="preserve">3. Orientation business : impact financier ou métier explicite ?</w:t>
            </w:r>
          </w:p>
        </w:tc>
        <w:tc>
          <w:tcPr>
            <w:tcW w:type="dxa" w:w="1445"/>
            <w:tcMar>
              <w:top w:type="dxa" w:w="60"/>
              <w:left w:type="dxa" w:w="100"/>
              <w:bottom w:type="dxa" w:w="60"/>
              <w:right w:type="dxa" w:w="100"/>
            </w:tcMar>
          </w:tcPr>
          <w:p>
            <w:pPr>
              <w:spacing w:after="40"/>
            </w:pPr>
            <w:r>
              <w:rPr>
                <w:sz w:val="19"/>
                <w:szCs w:val="19"/>
              </w:rPr>
              <w:t xml:space="preserve">☐</w:t>
            </w:r>
          </w:p>
        </w:tc>
        <w:tc>
          <w:tcPr>
            <w:tcW w:type="dxa" w:w="1447"/>
            <w:tcMar>
              <w:top w:type="dxa" w:w="60"/>
              <w:left w:type="dxa" w:w="100"/>
              <w:bottom w:type="dxa" w:w="60"/>
              <w:right w:type="dxa" w:w="100"/>
            </w:tcMar>
          </w:tcPr>
          <w:p>
            <w:pPr>
              <w:spacing w:after="40"/>
            </w:pPr>
            <w:r>
              <w:rPr>
                <w:sz w:val="19"/>
                <w:szCs w:val="19"/>
              </w:rPr>
              <w:t xml:space="preserve">☐</w:t>
            </w:r>
          </w:p>
        </w:tc>
      </w:tr>
      <w:tr>
        <w:tc>
          <w:tcPr>
            <w:tcW w:type="dxa" w:w="6746"/>
            <w:shd w:fill="E8EEF5" w:color="auto" w:val="clear"/>
            <w:tcMar>
              <w:top w:type="dxa" w:w="60"/>
              <w:left w:type="dxa" w:w="100"/>
              <w:bottom w:type="dxa" w:w="60"/>
              <w:right w:type="dxa" w:w="100"/>
            </w:tcMar>
          </w:tcPr>
          <w:p>
            <w:pPr>
              <w:spacing w:after="40"/>
            </w:pPr>
            <w:r>
              <w:rPr>
                <w:sz w:val="19"/>
                <w:szCs w:val="19"/>
              </w:rPr>
              <w:t xml:space="preserve">4. Structure : logique SCQA identifiable ?</w:t>
            </w:r>
          </w:p>
        </w:tc>
        <w:tc>
          <w:tcPr>
            <w:tcW w:type="dxa" w:w="1445"/>
            <w:shd w:fill="E8EEF5" w:color="auto" w:val="clear"/>
            <w:tcMar>
              <w:top w:type="dxa" w:w="60"/>
              <w:left w:type="dxa" w:w="100"/>
              <w:bottom w:type="dxa" w:w="60"/>
              <w:right w:type="dxa" w:w="100"/>
            </w:tcMar>
          </w:tcPr>
          <w:p>
            <w:pPr>
              <w:spacing w:after="40"/>
            </w:pPr>
            <w:r>
              <w:rPr>
                <w:sz w:val="19"/>
                <w:szCs w:val="19"/>
              </w:rPr>
              <w:t xml:space="preserve">☐</w:t>
            </w:r>
          </w:p>
        </w:tc>
        <w:tc>
          <w:tcPr>
            <w:tcW w:type="dxa" w:w="1447"/>
            <w:shd w:fill="E8EEF5" w:color="auto" w:val="clear"/>
            <w:tcMar>
              <w:top w:type="dxa" w:w="60"/>
              <w:left w:type="dxa" w:w="100"/>
              <w:bottom w:type="dxa" w:w="60"/>
              <w:right w:type="dxa" w:w="100"/>
            </w:tcMar>
          </w:tcPr>
          <w:p>
            <w:pPr>
              <w:spacing w:after="40"/>
            </w:pPr>
            <w:r>
              <w:rPr>
                <w:sz w:val="19"/>
                <w:szCs w:val="19"/>
              </w:rPr>
              <w:t xml:space="preserve">☐</w:t>
            </w:r>
          </w:p>
        </w:tc>
      </w:tr>
      <w:tr>
        <w:tc>
          <w:tcPr>
            <w:tcW w:type="dxa" w:w="6746"/>
            <w:tcMar>
              <w:top w:type="dxa" w:w="60"/>
              <w:left w:type="dxa" w:w="100"/>
              <w:bottom w:type="dxa" w:w="60"/>
              <w:right w:type="dxa" w:w="100"/>
            </w:tcMar>
          </w:tcPr>
          <w:p>
            <w:pPr>
              <w:spacing w:after="40"/>
            </w:pPr>
            <w:r>
              <w:rPr>
                <w:sz w:val="19"/>
                <w:szCs w:val="19"/>
              </w:rPr>
              <w:t xml:space="preserve">5. Posture : regard ancré, voix posée, assurance ?</w:t>
            </w:r>
          </w:p>
        </w:tc>
        <w:tc>
          <w:tcPr>
            <w:tcW w:type="dxa" w:w="1445"/>
            <w:tcMar>
              <w:top w:type="dxa" w:w="60"/>
              <w:left w:type="dxa" w:w="100"/>
              <w:bottom w:type="dxa" w:w="60"/>
              <w:right w:type="dxa" w:w="100"/>
            </w:tcMar>
          </w:tcPr>
          <w:p>
            <w:pPr>
              <w:spacing w:after="40"/>
            </w:pPr>
            <w:r>
              <w:rPr>
                <w:sz w:val="19"/>
                <w:szCs w:val="19"/>
              </w:rPr>
              <w:t xml:space="preserve">☐</w:t>
            </w:r>
          </w:p>
        </w:tc>
        <w:tc>
          <w:tcPr>
            <w:tcW w:type="dxa" w:w="1447"/>
            <w:tcMar>
              <w:top w:type="dxa" w:w="60"/>
              <w:left w:type="dxa" w:w="100"/>
              <w:bottom w:type="dxa" w:w="60"/>
              <w:right w:type="dxa" w:w="100"/>
            </w:tcMar>
          </w:tcPr>
          <w:p>
            <w:pPr>
              <w:spacing w:after="40"/>
            </w:pPr>
            <w:r>
              <w:rPr>
                <w:sz w:val="19"/>
                <w:szCs w:val="19"/>
              </w:rPr>
              <w:t xml:space="preserve">☐</w:t>
            </w:r>
          </w:p>
        </w:tc>
      </w:tr>
    </w:tbl>
    <w:p>
      <w:pPr>
        <w:spacing w:after="120"/>
      </w:pPr>
    </w:p>
    <w:p>
      <w:pPr>
        <w:pStyle w:val="Heading2"/>
      </w:pPr>
      <w:r>
        <w:t xml:space="preserve">Bilan de la séance (25/09/2026)</w:t>
      </w:r>
    </w:p>
    <w:p>
      <w:pPr>
        <w:spacing w:after="120"/>
      </w:pPr>
      <w:r>
        <w:t xml:space="preserve">3 étudiants présents. Bon niveau technique, niveau business intermédiaire. Ajustement décidé : renforcer les cas pratiques et les jeux de rôle, en particulier la construction et la défense d’une proposition devant un COMEX (intégré aux séances 2 à 4).</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6"/>
        <w:szCs w:val="16"/>
      </w:rPr>
      <w:t xml:space="preserve">COEXCL · Guide d’animation — Séance 1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abstractNum w:abstractNumId="3" w15:restartNumberingAfterBreak="0">
    <w:multiLevelType w:val="hybridMultilevel"/>
    <w:lvl w:ilvl="0" w15:tentative="1">
      <w:start w:val="1"/>
      <w:numFmt w:val="decimal"/>
      <w:lvlText w:val="%1."/>
      <w:lvlJc w:val="left"/>
      <w:pPr>
        <w:ind w:left="500" w:hanging="300"/>
      </w:pPr>
    </w:lvl>
  </w:abstractNum>
  <w:abstractNum w:abstractNumId="4" w15:restartNumberingAfterBreak="0">
    <w:multiLevelType w:val="hybridMultilevel"/>
    <w:lvl w:ilvl="0" w15:tentative="1">
      <w:start w:val="1"/>
      <w:numFmt w:val="decimal"/>
      <w:lvlText w:val="%1."/>
      <w:lvlJc w:val="left"/>
      <w:pPr>
        <w:ind w:left="500" w:hanging="300"/>
      </w:pPr>
    </w:lvl>
  </w:abstractNum>
  <w:abstractNum w:abstractNumId="5"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b/>
      <w:bCs/>
      <w:color w:val="1F3A5F"/>
      <w:sz w:val="30"/>
      <w:szCs w:val="30"/>
    </w:rPr>
  </w:style>
  <w:style w:type="paragraph" w:styleId="Heading2">
    <w:name w:val="Heading 2"/>
    <w:basedOn w:val="Normal"/>
    <w:next w:val="Normal"/>
    <w:qFormat/>
    <w:pPr>
      <w:spacing w:after="100" w:before="240"/>
      <w:outlineLvl w:val="1"/>
    </w:pPr>
    <w:rPr>
      <w:b/>
      <w:bCs/>
      <w:color w:val="1F3A5F"/>
      <w:sz w:val="25"/>
      <w:szCs w:val="25"/>
    </w:rPr>
  </w:style>
  <w:style w:type="paragraph" w:styleId="Heading3">
    <w:name w:val="Heading 3"/>
    <w:basedOn w:val="Normal"/>
    <w:next w:val="Normal"/>
    <w:qFormat/>
    <w:pPr>
      <w:spacing w:after="80" w:before="180"/>
      <w:outlineLvl w:val="2"/>
    </w:pPr>
    <w:rPr>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d’animation — Séance 1</dc:title>
  <dc:creator>Nizam BOURHANI</dc:creator>
  <cp:lastModifiedBy>Un-named</cp:lastModifiedBy>
  <cp:revision>1</cp:revision>
  <dcterms:created xsi:type="dcterms:W3CDTF">2026-10-06T13:50:09.006Z</dcterms:created>
  <dcterms:modified xsi:type="dcterms:W3CDTF">2026-10-06T13:50:09.007Z</dcterms:modified>
</cp:coreProperties>
</file>

<file path=docProps/custom.xml><?xml version="1.0" encoding="utf-8"?>
<Properties xmlns="http://schemas.openxmlformats.org/officeDocument/2006/custom-properties" xmlns:vt="http://schemas.openxmlformats.org/officeDocument/2006/docPropsVTypes"/>
</file>