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8"/>
          <w:szCs w:val="18"/>
        </w:rPr>
        <w:t xml:space="preserve">EPITA Paris · MSc Informatique &amp; Management · Parcours Cybersécurité (MSc2, S3 2026-2027)</w:t>
      </w:r>
    </w:p>
    <w:p>
      <w:pPr>
        <w:spacing w:after="80"/>
      </w:pPr>
      <w:r>
        <w:rPr>
          <w:b/>
          <w:bCs/>
          <w:color w:val="1F3A5F"/>
          <w:sz w:val="40"/>
          <w:szCs w:val="40"/>
        </w:rPr>
        <w:t xml:space="preserve">Contrôle continu (30 %)</w:t>
      </w:r>
    </w:p>
    <w:p>
      <w:pPr>
        <w:spacing w:after="120"/>
      </w:pPr>
      <w:r>
        <w:rPr>
          <w:color w:val="444444"/>
          <w:sz w:val="24"/>
          <w:szCs w:val="24"/>
        </w:rPr>
        <w:t xml:space="preserve">CC1 Note Flash Exécutive (1/3) · CC2 Rapport exécutif au COMEX (2/3)</w:t>
      </w:r>
    </w:p>
    <w:p>
      <w:pPr>
        <w:pBdr>
          <w:bottom w:val="single" w:color="1F3A5F" w:sz="8" w:space="4"/>
        </w:pBdr>
        <w:spacing w:after="240"/>
      </w:pPr>
      <w:r>
        <w:rPr>
          <w:sz w:val="19"/>
          <w:szCs w:val="19"/>
        </w:rPr>
        <w:t xml:space="preserve">ECUE </w:t>
      </w:r>
      <w:r>
        <w:rPr>
          <w:b/>
          <w:bCs/>
          <w:sz w:val="19"/>
          <w:szCs w:val="19"/>
        </w:rPr>
        <w:t xml:space="preserve">COEXCL</w:t>
      </w:r>
      <w:r>
        <w:rPr>
          <w:sz w:val="19"/>
          <w:szCs w:val="19"/>
        </w:rPr>
        <w:t xml:space="preserve"> — Communication exécutive (C-Level) · 20 h FI · 2 ECTS · Intervenant : Nizam BOURHANI</w:t>
      </w:r>
    </w:p>
    <w:p>
      <w:pPr>
        <w:pStyle w:val="Heading1"/>
      </w:pPr>
      <w:r>
        <w:t xml:space="preserve">Vue d’ensemble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469"/>
        <w:gridCol w:w="2409"/>
        <w:gridCol w:w="2411"/>
      </w:tblGrid>
      <w:tr>
        <w:trPr>
          <w:tblHeader/>
        </w:trPr>
        <w:tc>
          <w:tcPr>
            <w:tcW w:type="dxa" w:w="134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Épreuve</w:t>
            </w:r>
          </w:p>
        </w:tc>
        <w:tc>
          <w:tcPr>
            <w:tcW w:type="dxa" w:w="34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240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AAV évalués</w:t>
            </w:r>
          </w:p>
        </w:tc>
        <w:tc>
          <w:tcPr>
            <w:tcW w:type="dxa" w:w="241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Calendrier</w:t>
            </w:r>
          </w:p>
        </w:tc>
      </w:tr>
      <w:tr>
        <w:tc>
          <w:tcPr>
            <w:tcW w:type="dxa" w:w="13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CC1</w:t>
            </w:r>
          </w:p>
        </w:tc>
        <w:tc>
          <w:tcPr>
            <w:tcW w:type="dxa" w:w="34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Note Flash Exécutive SCQA, 1 page, en binôme (cas « faille critique ERP » de la séance 1).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AAV2, AAV3</w:t>
            </w:r>
          </w:p>
        </w:tc>
        <w:tc>
          <w:tcPr>
            <w:tcW w:type="dxa" w:w="24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Rendu le 16/10/2026</w:t>
            </w:r>
          </w:p>
        </w:tc>
      </w:tr>
      <w:tr>
        <w:tc>
          <w:tcPr>
            <w:tcW w:type="dxa" w:w="134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CC2</w:t>
            </w:r>
          </w:p>
        </w:tc>
        <w:tc>
          <w:tcPr>
            <w:tcW w:type="dxa" w:w="346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Rapport exécutif au COMEX : 2 pages + 1 tableau de bord, individuel.</w:t>
            </w:r>
          </w:p>
        </w:tc>
        <w:tc>
          <w:tcPr>
            <w:tcW w:type="dxa" w:w="2409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AAV5, AAV3, AAV2</w:t>
            </w:r>
          </w:p>
        </w:tc>
        <w:tc>
          <w:tcPr>
            <w:tcW w:type="dxa" w:w="241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Distribué en S2, rendu sous 14 jours (PDF sur Moodle)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Note de CC = (CC1 + 2 × CC2) / 3. Chaque livrable comporte une annexe « Déclaration d’usage de l’IA ».</w:t>
      </w:r>
    </w:p>
    <w:p>
      <w:pPr>
        <w:pStyle w:val="Heading1"/>
      </w:pPr>
      <w:r>
        <w:t xml:space="preserve">CC1 — Note Flash Exécutive</w:t>
      </w:r>
    </w:p>
    <w:p>
      <w:pPr>
        <w:pStyle w:val="Heading2"/>
      </w:pPr>
      <w:r>
        <w:t xml:space="preserve">Consigne</w:t>
      </w:r>
    </w:p>
    <w:p>
      <w:pPr>
        <w:spacing w:after="120"/>
      </w:pPr>
      <w:r>
        <w:t xml:space="preserve">À partir de l’étude de cas de la séance 1 (faille critique sur le serveur de commandes de l’ERP, correctif nécessitant 4 h d’arrêt et 4 500 €), rédiger une note d’une page maximum, structurée en SCQA, qui permet au COMEX de décider en moins de deux minutes de lecture.</w:t>
      </w:r>
    </w:p>
    <w:p>
      <w:pPr>
        <w:pStyle w:val="Heading2"/>
      </w:pPr>
      <w:r>
        <w:t xml:space="preserve">Grille de notation (/20)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963"/>
        <w:gridCol w:w="3375"/>
      </w:tblGrid>
      <w:tr>
        <w:trPr>
          <w:tblHeader/>
        </w:trPr>
        <w:tc>
          <w:tcPr>
            <w:tcW w:type="dxa" w:w="5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337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A. Bottom-Line First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décision demandée et son coût apparaissent dans les 3 premières lignes.</w:t>
            </w:r>
          </w:p>
        </w:tc>
      </w:tr>
      <w:tr>
        <w:tc>
          <w:tcPr>
            <w:tcW w:type="dxa" w:w="53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B. Structure SCQA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Les 4 blocs sont identifiables et s’enchaînent logiquement.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C. Traduction business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Le risque est exprimé en impact (arrêt des ventes, données clients, image, sanction) et comparé au coût de l’action.</w:t>
            </w:r>
          </w:p>
        </w:tc>
      </w:tr>
      <w:tr>
        <w:tc>
          <w:tcPr>
            <w:tcW w:type="dxa" w:w="53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D. Absence de jargon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Aucun terme technique non traduit (CVSS, RCE, root, patch…).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E. Concision et forme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page, phrases courtes, orthographe soignée, objet explicite.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CC2 — Rapport exécutif au COMEX</w:t>
      </w:r>
    </w:p>
    <w:p>
      <w:pPr>
        <w:pStyle w:val="Heading2"/>
      </w:pPr>
      <w:r>
        <w:t xml:space="preserve">Contexte : NordLog Distribution (cas fictif)</w:t>
      </w:r>
    </w:p>
    <w:p>
      <w:pPr>
        <w:spacing w:after="120"/>
      </w:pPr>
      <w:r>
        <w:t xml:space="preserve">NordLog Distribution est une ETI de distribution B2B (1 200 salariés, 310 M€ de chiffre d’affaires, 4 entrepôts, 60 % des commandes passées en ligne). Elle relève de NIS2 en tant qu’entité importante. Vous êtes responsable de la sécurité des systèmes d’information. Le COMEX du mois prochain vous accorde </w:t>
      </w:r>
      <w:r>
        <w:rPr>
          <w:b/>
          <w:bCs/>
        </w:rPr>
        <w:t xml:space="preserve">10 minutes</w:t>
      </w:r>
      <w:r>
        <w:t xml:space="preserve"> et vous demande un rapport préalable de </w:t>
      </w:r>
      <w:r>
        <w:rPr>
          <w:b/>
          <w:bCs/>
        </w:rPr>
        <w:t xml:space="preserve">2 pages</w:t>
      </w:r>
      <w:r>
        <w:t xml:space="preserve">. Le CEO, la DAF et le directeur des opérations le liront la veille au soir.</w:t>
      </w:r>
    </w:p>
    <w:p>
      <w:pPr>
        <w:pStyle w:val="Heading2"/>
      </w:pPr>
      <w:r>
        <w:t xml:space="preserve">Données brutes du trimestre (fournies par vos équipes)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530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Incident 1</w:t>
            </w:r>
          </w:p>
        </w:tc>
        <w:tc>
          <w:tcPr>
            <w:tcW w:type="dxa" w:w="5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Compromission de la messagerie d’un collaborateur de la direction financière ; tentative de fraude au virement de 380 k€ bloquée par la banque.</w:t>
            </w:r>
          </w:p>
        </w:tc>
      </w:tr>
      <w:tr>
        <w:tc>
          <w:tcPr>
            <w:tcW w:type="dxa" w:w="43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Incident 2</w:t>
            </w:r>
          </w:p>
        </w:tc>
        <w:tc>
          <w:tcPr>
            <w:tcW w:type="dxa" w:w="530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Rançongiciel contenu sur 14 postes de l’entrepôt de Lille ; préparation des commandes arrêtée 9 h ; perte estimée à 120 k€ de chiffre d’affaires.</w:t>
            </w:r>
          </w:p>
        </w:tc>
      </w:tr>
      <w:tr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Test d’hameçonnage</w:t>
            </w:r>
          </w:p>
        </w:tc>
        <w:tc>
          <w:tcPr>
            <w:tcW w:type="dxa" w:w="5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Taux de clic de 18 % (objectif interne : 8 %).</w:t>
            </w:r>
          </w:p>
        </w:tc>
      </w:tr>
      <w:tr>
        <w:tc>
          <w:tcPr>
            <w:tcW w:type="dxa" w:w="43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Authentification multifacteur</w:t>
            </w:r>
          </w:p>
        </w:tc>
        <w:tc>
          <w:tcPr>
            <w:tcW w:type="dxa" w:w="530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Déployée sur 62 % des comptes, dont 71 % des comptes administrateurs.</w:t>
            </w:r>
          </w:p>
        </w:tc>
      </w:tr>
      <w:tr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Vulnérabilités critiques ouvertes depuis plus de 30 jours</w:t>
            </w:r>
          </w:p>
        </w:tc>
        <w:tc>
          <w:tcPr>
            <w:tcW w:type="dxa" w:w="5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47 (contre 22 au trimestre précédent).</w:t>
            </w:r>
          </w:p>
        </w:tc>
      </w:tr>
      <w:tr>
        <w:tc>
          <w:tcPr>
            <w:tcW w:type="dxa" w:w="43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Sauvegardes</w:t>
            </w:r>
          </w:p>
        </w:tc>
        <w:tc>
          <w:tcPr>
            <w:tcW w:type="dxa" w:w="530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test de restauration de l’ERP sur 3 a échoué.</w:t>
            </w:r>
          </w:p>
        </w:tc>
      </w:tr>
      <w:tr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Conformité NIS2</w:t>
            </w:r>
          </w:p>
        </w:tc>
        <w:tc>
          <w:tcPr>
            <w:tcW w:type="dxa" w:w="5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41 % des mesures requises en place.</w:t>
            </w:r>
          </w:p>
        </w:tc>
      </w:tr>
      <w:tr>
        <w:tc>
          <w:tcPr>
            <w:tcW w:type="dxa" w:w="4337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Budget cybersécurité</w:t>
            </w:r>
          </w:p>
        </w:tc>
        <w:tc>
          <w:tcPr>
            <w:tcW w:type="dxa" w:w="5301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1,9 % du budget informatique (repère de place souvent cité : 5 à 10 %).</w:t>
            </w:r>
          </w:p>
        </w:tc>
      </w:tr>
      <w:tr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Prestataire SOC</w:t>
            </w:r>
          </w:p>
        </w:tc>
        <w:tc>
          <w:tcPr>
            <w:tcW w:type="dxa" w:w="5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Contrat de surveillance en heures ouvrées, échéance en février.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Plan proposé par vos équipes (640 k€ sur 12 mois)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4"/>
        <w:gridCol w:w="3374"/>
      </w:tblGrid>
      <w:tr>
        <w:trPr>
          <w:tblHeader/>
        </w:trPr>
        <w:tc>
          <w:tcPr>
            <w:tcW w:type="dxa" w:w="626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Mesure</w:t>
            </w:r>
          </w:p>
        </w:tc>
        <w:tc>
          <w:tcPr>
            <w:tcW w:type="dxa" w:w="337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Coût</w:t>
            </w:r>
          </w:p>
        </w:tc>
      </w:tr>
      <w:tr>
        <w:tc>
          <w:tcPr>
            <w:tcW w:type="dxa" w:w="6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Généralisation de l’authentification multifacteur et gestion des comptes à privilèges</w:t>
            </w:r>
          </w:p>
        </w:tc>
        <w:tc>
          <w:tcPr>
            <w:tcW w:type="dxa" w:w="3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180 k€</w:t>
            </w:r>
          </w:p>
        </w:tc>
      </w:tr>
      <w:tr>
        <w:tc>
          <w:tcPr>
            <w:tcW w:type="dxa" w:w="626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Détection sur les postes et surveillance 24 h/24 (extension du SOC)</w:t>
            </w:r>
          </w:p>
        </w:tc>
        <w:tc>
          <w:tcPr>
            <w:tcW w:type="dxa" w:w="337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310 k€</w:t>
            </w:r>
          </w:p>
        </w:tc>
      </w:tr>
      <w:tr>
        <w:tc>
          <w:tcPr>
            <w:tcW w:type="dxa" w:w="6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Sauvegardes immuables et tests de restauration trimestriels</w:t>
            </w:r>
          </w:p>
        </w:tc>
        <w:tc>
          <w:tcPr>
            <w:tcW w:type="dxa" w:w="33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90 k€</w:t>
            </w:r>
          </w:p>
        </w:tc>
      </w:tr>
      <w:tr>
        <w:tc>
          <w:tcPr>
            <w:tcW w:type="dxa" w:w="626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Programme de sensibilisation et exercice de crise annuel</w:t>
            </w:r>
          </w:p>
        </w:tc>
        <w:tc>
          <w:tcPr>
            <w:tcW w:type="dxa" w:w="3374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60 k€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Consigne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Rédiger un </w:t>
      </w:r>
      <w:r>
        <w:rPr>
          <w:b/>
          <w:bCs/>
        </w:rPr>
        <w:t xml:space="preserve">rapport exécutif de 2 pages maximum</w:t>
      </w:r>
      <w:r>
        <w:t xml:space="preserve"> qui dresse l’état de la menace et de l’exposition, explique ce que les incidents révèlent et formule une </w:t>
      </w:r>
      <w:r>
        <w:rPr>
          <w:b/>
          <w:bCs/>
        </w:rPr>
        <w:t xml:space="preserve">recommandation claire</w:t>
      </w:r>
      <w:r>
        <w:t xml:space="preserve"> : valider tout, une partie ou un phasage du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Joindre </w:t>
      </w:r>
      <w:r>
        <w:rPr>
          <w:b/>
          <w:bCs/>
        </w:rPr>
        <w:t xml:space="preserve">1 page de tableau de bord</w:t>
      </w:r>
      <w:r>
        <w:t xml:space="preserve"> (5 à 7 indicateurs au maximum, tendance et code couleur, sans données brutes).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Chiffrer l’impact d’au moins un scénario de risque (fourchette de fréquence × impact) et le comparer au coût de la mesure correspondante.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Proposer au COMEX </w:t>
      </w:r>
      <w:r>
        <w:rPr>
          <w:b/>
          <w:bCs/>
        </w:rPr>
        <w:t xml:space="preserve">2 ou 3 options</w:t>
      </w:r>
      <w:r>
        <w:t xml:space="preserve"> avec bénéfices, risques et coûts, et indiquer votre option recommandée.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Annexe obligatoire : déclaration d’usage de l’IA (non comptée dans les 2 pages).</w:t>
      </w:r>
    </w:p>
    <w:p>
      <w:pPr>
        <w:pStyle w:val="Heading2"/>
      </w:pPr>
      <w:r>
        <w:t xml:space="preserve">Grille de notation (/20)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963"/>
        <w:gridCol w:w="3375"/>
      </w:tblGrid>
      <w:tr>
        <w:trPr>
          <w:tblHeader/>
        </w:trPr>
        <w:tc>
          <w:tcPr>
            <w:tcW w:type="dxa" w:w="53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96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337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A. Recommandation et décision demandée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Décision, montant et calendrier énoncés en tête ; options comparées ; prochaine étape actée.</w:t>
            </w:r>
          </w:p>
        </w:tc>
      </w:tr>
      <w:tr>
        <w:tc>
          <w:tcPr>
            <w:tcW w:type="dxa" w:w="53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B. Structure et storytelling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Pyramide (Minto) ou SCQA ; récit « incidents → ce qu’ils révèlent → enjeu → décision ».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C. Traduction business et chiffrage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Impact financier, opérationnel, réglementaire (NIS2) et réputationnel ; au moins un scénario chiffré et comparé au coût.</w:t>
            </w:r>
          </w:p>
        </w:tc>
      </w:tr>
      <w:tr>
        <w:tc>
          <w:tcPr>
            <w:tcW w:type="dxa" w:w="53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D. Adaptation à l’audience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CEO, DAF et directeur des opérations y trouvent chacun leur enjeu ; aucun jargon non expliqué.</w:t>
            </w:r>
          </w:p>
        </w:tc>
      </w:tr>
      <w:tr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E. Tableau de bord</w:t>
            </w:r>
          </w:p>
        </w:tc>
        <w:tc>
          <w:tcPr>
            <w:tcW w:type="dxa" w:w="9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Indicateurs pertinents, lisibles en 30 secondes, tendances et seuils visibles.</w:t>
            </w:r>
          </w:p>
        </w:tc>
      </w:tr>
      <w:tr>
        <w:tc>
          <w:tcPr>
            <w:tcW w:type="dxa" w:w="53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F. Format et qualité professionnelle</w:t>
            </w:r>
          </w:p>
        </w:tc>
        <w:tc>
          <w:tcPr>
            <w:tcW w:type="dxa" w:w="963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3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pages + 1 annexe, mise en page sobre, orthographe, sources des chiffres.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Éléments de corrigé (pour le correcteur)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Message clé attendu : deux incidents évités de justesse ou contenus montrent une exposition supérieure à l’appétence au risque ; la fraude au virement (380 k€) et l’arrêt de Lille (120 k€) dépassent à eux deux 75 % du coût du plan.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Priorités défendables : authentification multifacteur et comptes à privilèges (cause directe de l’incident 1), sauvegardes (condition de survie face au rançongiciel), surveillance 24 h/24 avant l’échéance du contrat en février.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phasage (par exemple 270 k€ au premier semestre, puis le reste) est acceptable s’il est justifié par le risque.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Pénalisation : rapport qui liste les 9 indicateurs sans hiérarchie, absence de décision demandée, jargon (EDR, PAM, CVE) non traduit.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COEXCL · Contrôle continu (30 %)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Contrôle continu (30 %)</dc:title>
  <dc:creator>Nizam BOURHANI</dc:creator>
  <cp:lastModifiedBy>Un-named</cp:lastModifiedBy>
  <cp:revision>1</cp:revision>
  <dcterms:created xsi:type="dcterms:W3CDTF">2026-10-06T13:50:09.036Z</dcterms:created>
  <dcterms:modified xsi:type="dcterms:W3CDTF">2026-10-06T13:50:09.036Z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