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Examen final (50 %) — Pitch COMEX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Épreuve individuelle orale devant un jury mixte · semaine d’examens (date fixée avec la scolarité)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FI · 2 ECTS · Intervenant : Nizam BOURHANI</w:t>
      </w:r>
    </w:p>
    <w:p>
      <w:pPr>
        <w:pStyle w:val="Heading1"/>
      </w:pPr>
      <w:r>
        <w:t xml:space="preserve">Objectif et acquis évalués</w:t>
      </w:r>
    </w:p>
    <w:p>
      <w:pPr>
        <w:spacing w:after="120"/>
      </w:pPr>
      <w:r>
        <w:t xml:space="preserve">Vérifier que l’étudiant sait convaincre un comité de direction de prendre une décision de cybersécurité : structurer, raconter, chiffrer, tenir sa posture et répondre aux questions difficiles.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AAV1</w:t>
      </w:r>
      <w:r>
        <w:t xml:space="preserve"> — pitch de 5 minutes devant un public C-Level.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AAV3</w:t>
      </w:r>
      <w:r>
        <w:t xml:space="preserve"> — adaptation d’un sujet technique à un public non spécialiste.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AAV4</w:t>
      </w:r>
      <w:r>
        <w:t xml:space="preserve"> — gestion des questions difficiles en improvisation.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AAV2</w:t>
      </w:r>
      <w:r>
        <w:t xml:space="preserve"> (mobilisé) — note d’une page remise au jury.</w:t>
      </w:r>
    </w:p>
    <w:p>
      <w:pPr>
        <w:pStyle w:val="Heading1"/>
      </w:pPr>
      <w:r>
        <w:t xml:space="preserve">Organisation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67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Modalité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Scénarios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scénarios publiés sur Moodle à la fin de la séance 3 ; chaque étudiant tire le sien en séance 4, au moins 7 jours avant l’épreuve.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Supports autorisés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diapositives au maximum (ou aucune) + une note d’une page remise au jury au début du passage.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Durée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 minutes par étudiant : 5 min de pitch (arrêt à 5 min 30) · 7 min de questions · 3 min de délibération.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Jury mixte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L’intervenant + l’Advisor filière ou un professionnel extérieur. Les membres jouent des rôles : CEO, DAF, directeur juridique ou des opérations.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Rebondissement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Pendant les questions, le jury introduit une information nouvelle (par exemple : « la presse vient d’appeler »). Le principe est annoncé et entraîné en S3 et S4 ; le contenu ne l’est pas.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IA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Préparation : contrat IA du module, déclaration en annexe de la note. Pendant l’oral : aucun outil.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Les 5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240"/>
        <w:gridCol w:w="2893"/>
      </w:tblGrid>
      <w:tr>
        <w:trPr>
          <w:tblHeader/>
        </w:trPr>
        <w:tc>
          <w:tcPr>
            <w:tcW w:type="dxa" w:w="25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424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89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Décision à obtenir du COMEX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Rançongiciel dans un groupe de cliniques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Groupe de 6 cliniques privées. Depuis 6 h ce matin, le dossier patient informatisé de 2 sites est chiffré. Les blocs opératoires fonctionnent en mode dégradé. Une rançon de 1,5 M€ est demandée.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Activer le plan de continuité, refuser le paiement, informer l’ARS, l’ANSSI et la CNIL, valider 1,2 M€ de reconstruction et un plan de communication aux patients.</w:t>
            </w: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Programme de conformité NIS2</w:t>
            </w:r>
          </w:p>
        </w:tc>
        <w:tc>
          <w:tcPr>
            <w:tcW w:type="dxa" w:w="424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ETI industrielle de 2 000 salariés, entité importante au sens de NIS2. 38 % des mesures sont en place. Sanction possible : jusqu’à 7 M€ ou 1,4 % du chiffre d’affaires mondial.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Obtenir la validation d’un programme de 18 mois à 1,4 M€ et la nomination d’un sponsor au COMEX.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Fournisseur critique compromis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L’éditeur SaaS qui calcule la paie de 3 500 salariés annonce une intrusion. La paie doit partir dans 5 jours.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Choisir entre suspendre l’interface (paie manuelle, 3 jours de retard possibles) et maintenir le flux sous conditions.</w:t>
            </w: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Fuite de données clients</w:t>
            </w:r>
          </w:p>
        </w:tc>
        <w:tc>
          <w:tcPr>
            <w:tcW w:type="dxa" w:w="424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Site e-commerce : un fichier de 240 000 clients (noms, adresses, historiques d’achat, sans données bancaires) est publié sur un forum. Découverte il y a 20 heures.</w:t>
            </w:r>
          </w:p>
        </w:tc>
        <w:tc>
          <w:tcPr>
            <w:tcW w:type="dxa" w:w="289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Valider la notification à la CNIL sous 72 h, l’information des clients et la ligne de communication publique.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Migration cloud : accélérer ou sécuriser ?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directeur technique veut basculer l’ERP dans le cloud dans 1 mois. Vous demandez 3 mois de durcissement. Chaque mois de retard coûte 85 k€.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Proposer un arbitrage (go, no-go ou go conditionnel) argumenté par le risque.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Banque de questions du jury</w:t>
      </w:r>
    </w:p>
    <w:p>
      <w:pPr>
        <w:pStyle w:val="Heading2"/>
      </w:pPr>
      <w:r>
        <w:t xml:space="preserve">Questions transversales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Combien ça coûte si on ne fait rien ?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Pourquoi maintenant ? On a vécu dix ans sans.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Notre assurance cyber ne couvre-t-elle pas ce risque ?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Qui est responsable de cette situation ?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Résumez-moi votre demande en une phrase.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Si je vous donne la moitié du budget, que faites-vous en premier ? 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Que dit-on aux clients (ou aux salariés) demain matin ? »</w:t>
      </w:r>
    </w:p>
    <w:p>
      <w:pPr>
        <w:pStyle w:val="Heading2"/>
      </w:pPr>
      <w:r>
        <w:t xml:space="preserve">Questions propres aux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433"/>
        <w:gridCol w:w="3085"/>
      </w:tblGrid>
      <w:tr>
        <w:trPr>
          <w:tblHeader/>
        </w:trPr>
        <w:tc>
          <w:tcPr>
            <w:tcW w:type="dxa" w:w="212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Scénario</w:t>
            </w:r>
          </w:p>
        </w:tc>
        <w:tc>
          <w:tcPr>
            <w:tcW w:type="dxa" w:w="443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Questions possibles</w:t>
            </w:r>
          </w:p>
        </w:tc>
        <w:tc>
          <w:tcPr>
            <w:tcW w:type="dxa" w:w="30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Rebondissement possible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Cliniques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Payer la rançon serait plus rapide, non ? » · « Combien de temps en mode dégradé ? » · « Doit-on transférer des patients ? »</w:t>
            </w:r>
          </w:p>
        </w:tc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Les attaquants menacent de publier des dossiers médicaux.</w:t>
            </w:r>
          </w:p>
        </w:tc>
      </w:tr>
      <w:tr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NIS2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Nos concurrents sont-ils prêts ? » · « Peut-on se contenter du minimum légal ? » · « Que signifie un sponsor COMEX pour moi ? »</w:t>
            </w:r>
          </w:p>
        </w:tc>
        <w:tc>
          <w:tcPr>
            <w:tcW w:type="dxa" w:w="308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client grand compte exige une attestation de conformité sous 6 mois.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Fournisseur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Et si les salariés ne sont pas payés à temps ? » · « Le contrat nous protège-t-il ? » · « Faut-il changer de fournisseur ? »</w:t>
            </w:r>
          </w:p>
        </w:tc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fournisseur confirme que des RIB ont été consultés.</w:t>
            </w:r>
          </w:p>
        </w:tc>
      </w:tr>
      <w:tr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Fuite</w:t>
            </w:r>
          </w:p>
        </w:tc>
        <w:tc>
          <w:tcPr>
            <w:tcW w:type="dxa" w:w="443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Est-on obligé de prévenir tout le monde ? » · « Peut-on attendre d’en savoir plus ? » · « Quel message pour la presse ? »</w:t>
            </w:r>
          </w:p>
        </w:tc>
        <w:tc>
          <w:tcPr>
            <w:tcW w:type="dxa" w:w="308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journaliste a obtenu un extrait du fichier.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Cloud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Vous freinez l’innovation » · « Quel risque exactement, en euros ? » · « Le fournisseur cloud n’est-il pas plus sûr que nous ? »</w:t>
            </w:r>
          </w:p>
        </w:tc>
        <w:tc>
          <w:tcPr>
            <w:tcW w:type="dxa" w:w="3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CEO a déjà annoncé la date au conseil d’administration.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Grille de notation (/20)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867"/>
        <w:gridCol w:w="2505"/>
        <w:gridCol w:w="2219"/>
      </w:tblGrid>
      <w:tr>
        <w:trPr>
          <w:tblHeader/>
        </w:trPr>
        <w:tc>
          <w:tcPr>
            <w:tcW w:type="dxa" w:w="40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86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25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Niveau attendu (pleine note)</w:t>
            </w:r>
          </w:p>
        </w:tc>
        <w:tc>
          <w:tcPr>
            <w:tcW w:type="dxa" w:w="221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Niveau insuffisant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A. Accroche et Bottom-Line First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Décision demandée, montant et délai annoncés dans les 30 premières secondes.</w:t>
            </w:r>
          </w:p>
        </w:tc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Conclusion absente ou repoussée à la fin.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B. Structure et storytelling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Récit clair « situation → menace → enjeu → décision », SCQA identifiable, transitions fluides.</w:t>
            </w:r>
          </w:p>
        </w:tc>
        <w:tc>
          <w:tcPr>
            <w:tcW w:type="dxa" w:w="22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Liste de faits techniques sans fil conducteur.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C. Traduction business et chiffrage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Impacts financier, opérationnel, juridique et réputationnel chiffrés ; options comparées.</w:t>
            </w:r>
          </w:p>
        </w:tc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Jargon, aucun chiffre, aucune option.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D. Posture et prise de parole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Regard, voix, débit et gestion du temps maîtrisés ; présence exécutive.</w:t>
            </w:r>
          </w:p>
        </w:tc>
        <w:tc>
          <w:tcPr>
            <w:tcW w:type="dxa" w:w="22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Lecture de notes, dépassement de temps, voix inaudible.</w:t>
            </w:r>
          </w:p>
        </w:tc>
      </w:tr>
      <w:tr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E. Questions difficiles et rebondissement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Écoute, reformule, répond en 3 phrases, reconnaît une limite, intègre l’information nouvelle sans perdre sa ligne.</w:t>
            </w:r>
          </w:p>
        </w:tc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Défensif, hors sujet ou déstabilisé durablement.</w:t>
            </w:r>
          </w:p>
        </w:tc>
      </w:tr>
      <w:tr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F. Note d’une page remise au jury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Synthèse autonome et cohérente avec le pitch.</w:t>
            </w:r>
          </w:p>
        </w:tc>
        <w:tc>
          <w:tcPr>
            <w:tcW w:type="dxa" w:w="22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Absente ou recopie des diapositives.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Chaque membre du jury note séparément ; la note finale est la moyenne, arrondie au demi-point, avec un commentaire écrit de 3 lignes (un point fort, deux axes de progrès).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COEXCL · Examen final (50 %) — Pitch COMEX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final (50 %) — Pitch COMEX</dc:title>
  <dc:creator>Nizam BOURHANI</dc:creator>
  <cp:lastModifiedBy>Un-named</cp:lastModifiedBy>
  <cp:revision>1</cp:revision>
  <dcterms:created xsi:type="dcterms:W3CDTF">2026-10-06T13:50:09.055Z</dcterms:created>
  <dcterms:modified xsi:type="dcterms:W3CDTF">2026-10-06T13:50:09.055Z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