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18"/>
          <w:szCs w:val="18"/>
        </w:rPr>
        <w:t xml:space="preserve">EPITA Paris · MSc Informatique &amp; Management · Parcours Cybersécurité (MSc2, S3 2026-2027)</w:t>
      </w:r>
    </w:p>
    <w:p>
      <w:pPr>
        <w:spacing w:after="80"/>
      </w:pPr>
      <w:r>
        <w:rPr>
          <w:b/>
          <w:bCs/>
          <w:color w:val="1F3A5F"/>
          <w:sz w:val="40"/>
          <w:szCs w:val="40"/>
        </w:rPr>
        <w:t xml:space="preserve">Épreuve de rattrapage (2e session)</w:t>
      </w:r>
    </w:p>
    <w:p>
      <w:pPr>
        <w:spacing w:after="120"/>
      </w:pPr>
      <w:r>
        <w:rPr>
          <w:color w:val="444444"/>
          <w:sz w:val="24"/>
          <w:szCs w:val="24"/>
        </w:rPr>
        <w:t xml:space="preserve">Version alternative de l’examen final — mêmes acquis, nouveaux scénarios</w:t>
      </w:r>
    </w:p>
    <w:p>
      <w:pPr>
        <w:pBdr>
          <w:bottom w:val="single" w:color="1F3A5F" w:sz="8" w:space="4"/>
        </w:pBdr>
        <w:spacing w:after="240"/>
      </w:pPr>
      <w:r>
        <w:rPr>
          <w:sz w:val="19"/>
          <w:szCs w:val="19"/>
        </w:rPr>
        <w:t xml:space="preserve">ECUE </w:t>
      </w:r>
      <w:r>
        <w:rPr>
          <w:b/>
          <w:bCs/>
          <w:sz w:val="19"/>
          <w:szCs w:val="19"/>
        </w:rPr>
        <w:t xml:space="preserve">COEXCL</w:t>
      </w:r>
      <w:r>
        <w:rPr>
          <w:sz w:val="19"/>
          <w:szCs w:val="19"/>
        </w:rPr>
        <w:t xml:space="preserve"> — Communication exécutive (C-Level) · 20 h FI · 2 ECTS · Intervenant : Nizam BOURHANI</w:t>
      </w:r>
    </w:p>
    <w:p>
      <w:pPr>
        <w:pStyle w:val="Heading1"/>
      </w:pPr>
      <w:r>
        <w:t xml:space="preserve">Format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927"/>
        <w:gridCol w:w="4820"/>
      </w:tblGrid>
      <w:tr>
        <w:trPr>
          <w:tblHeader/>
        </w:trPr>
        <w:tc>
          <w:tcPr>
            <w:tcW w:type="dxa" w:w="28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Partie</w:t>
            </w:r>
          </w:p>
        </w:tc>
        <w:tc>
          <w:tcPr>
            <w:tcW w:type="dxa" w:w="192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Poids</w:t>
            </w:r>
          </w:p>
        </w:tc>
        <w:tc>
          <w:tcPr>
            <w:tcW w:type="dxa" w:w="482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Modalité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Note de synthèse sur table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40 %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 heures, individuel, sans IA. Rédiger une note exécutive d’une page à partir d’un dossier de 4 à 5 pages remis le jour même.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Oral</w:t>
            </w:r>
          </w:p>
        </w:tc>
        <w:tc>
          <w:tcPr>
            <w:tcW w:type="dxa" w:w="192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60 %</w:t>
            </w:r>
          </w:p>
        </w:tc>
        <w:tc>
          <w:tcPr>
            <w:tcW w:type="dxa" w:w="482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minutes de pitch, à partir de la note rédigée, puis 5 minutes de questions difficiles devant un jury (intervenant + Advisor ou un professionnel).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 scénario est tiré au sort parmi les deux scénarios ci-dessous ; leur principe et la grille sont communiqués à l’étudiant à l’avance, le dossier détaillé est remis le jour de l’épreuve.</w:t>
      </w:r>
    </w:p>
    <w:p>
      <w:pPr>
        <w:pStyle w:val="Heading1"/>
      </w:pPr>
      <w:r>
        <w:t xml:space="preserve">Scénarios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4240"/>
        <w:gridCol w:w="2893"/>
      </w:tblGrid>
      <w:tr>
        <w:trPr>
          <w:tblHeader/>
        </w:trPr>
        <w:tc>
          <w:tcPr>
            <w:tcW w:type="dxa" w:w="250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Scénario</w:t>
            </w:r>
          </w:p>
        </w:tc>
        <w:tc>
          <w:tcPr>
            <w:tcW w:type="dxa" w:w="424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289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Décision à obtenir</w:t>
            </w:r>
          </w:p>
        </w:tc>
      </w:tr>
      <w:t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A. Fraude au président par deepfake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 DAF d’une ETI reçoit un appel vidéo du « CEO » (voix et image falsifiées) demandant un virement urgent de 1,1 M€. Le virement est bloqué in extremis par la banque.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Valider une procédure de double validation des paiements et une formation obligatoire des dirigeants (45 k€).</w:t>
            </w:r>
          </w:p>
        </w:tc>
      </w:tr>
      <w:tr>
        <w:tc>
          <w:tcPr>
            <w:tcW w:type="dxa" w:w="250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B. Arrêt d’une ligne de production</w:t>
            </w:r>
          </w:p>
        </w:tc>
        <w:tc>
          <w:tcPr>
            <w:tcW w:type="dxa" w:w="424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logiciel malveillant arrête une ligne d’usine pilotée par des automates pendant 36 heures (perte : 400 k€). Les réseaux bureautique et industriel ne sont pas séparés.</w:t>
            </w:r>
          </w:p>
        </w:tc>
        <w:tc>
          <w:tcPr>
            <w:tcW w:type="dxa" w:w="289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Valider un projet de segmentation et de surveillance du réseau industriel (520 k€ sur 9 mois).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Grille de notation</w:t>
      </w:r>
    </w:p>
    <w:p>
      <w:pPr>
        <w:pStyle w:val="Heading2"/>
      </w:pPr>
      <w:r>
        <w:t xml:space="preserve">Partie 1 — Note de synthèse (/20, pondérée à 40 %)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963"/>
        <w:gridCol w:w="2893"/>
      </w:tblGrid>
      <w:tr>
        <w:trPr>
          <w:tblHeader/>
        </w:trPr>
        <w:tc>
          <w:tcPr>
            <w:tcW w:type="dxa" w:w="578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96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289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Attendu</w:t>
            </w:r>
          </w:p>
        </w:tc>
      </w:tr>
      <w:tr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Bottom-Line First et recommandation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Décision, coût et délai en tête.</w:t>
            </w:r>
          </w:p>
        </w:tc>
      </w:tr>
      <w:tr>
        <w:tc>
          <w:tcPr>
            <w:tcW w:type="dxa" w:w="578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Structure SCQA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9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Blocs identifiables et enchaînés.</w:t>
            </w:r>
          </w:p>
        </w:tc>
      </w:tr>
      <w:tr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Traduction business et chiffrage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Impact comparé au coût de la mesure.</w:t>
            </w:r>
          </w:p>
        </w:tc>
      </w:tr>
      <w:tr>
        <w:tc>
          <w:tcPr>
            <w:tcW w:type="dxa" w:w="578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Absence de jargon et adaptation à l’audience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9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Lisible par un non-spécialiste.</w:t>
            </w:r>
          </w:p>
        </w:tc>
      </w:tr>
      <w:tr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Concision et forme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 page, propre, orthographe.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2 — Oral (/20, pondérée à 60 %)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963"/>
        <w:gridCol w:w="2893"/>
      </w:tblGrid>
      <w:tr>
        <w:trPr>
          <w:tblHeader/>
        </w:trPr>
        <w:tc>
          <w:tcPr>
            <w:tcW w:type="dxa" w:w="578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96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289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Attendu</w:t>
            </w:r>
          </w:p>
        </w:tc>
      </w:tr>
      <w:tr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Accroche et décision demandée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Annoncées dans les 30 premières secondes.</w:t>
            </w:r>
          </w:p>
        </w:tc>
      </w:tr>
      <w:tr>
        <w:tc>
          <w:tcPr>
            <w:tcW w:type="dxa" w:w="578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Structure et storytelling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9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Fil « incident → enjeu → décision ».</w:t>
            </w:r>
          </w:p>
        </w:tc>
      </w:tr>
      <w:tr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Posture et gestion du temps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Regard, voix, 5 minutes respectées.</w:t>
            </w:r>
          </w:p>
        </w:tc>
      </w:tr>
      <w:tr>
        <w:tc>
          <w:tcPr>
            <w:tcW w:type="dxa" w:w="578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Questions difficiles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89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Écoute, reformulation, réponses courtes, sang-froid.</w:t>
            </w:r>
          </w:p>
        </w:tc>
      </w:tr>
      <w:tr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Cohérence avec la note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 pitch prolonge la note sans la lire.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Note de rattrapage = 0,4 × note de synthèse + 0,6 × oral. Elle remplace la note d’examen final selon les règles de la scolarité.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COEXCL · Épreuve de rattrapage (2e session)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Épreuve de rattrapage (2e session)</dc:title>
  <dc:creator>Nizam BOURHANI</dc:creator>
  <cp:lastModifiedBy>Un-named</cp:lastModifiedBy>
  <cp:revision>1</cp:revision>
  <dcterms:created xsi:type="dcterms:W3CDTF">2026-10-06T13:50:09.067Z</dcterms:created>
  <dcterms:modified xsi:type="dcterms:W3CDTF">2026-10-06T13:50:09.067Z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