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Note de transmission</w:t>
      </w:r>
    </w:p>
    <w:p>
      <w:pPr>
        <w:spacing w:after="120"/>
      </w:pPr>
      <w:r>
        <w:rPr>
          <w:color w:val="444444"/>
          <w:sz w:val="24"/>
          <w:szCs w:val="24"/>
        </w:rPr>
        <w:t xml:space="preserve">COEXCL teaching file for course validation — Mathew DAVIS, Cyber track advisor</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E3F2EA" w:color="auto" w:val="clear"/>
        <w:spacing w:after="200"/>
      </w:pPr>
      <w:r>
        <w:rPr>
          <w:b/>
          <w:bCs/>
          <w:sz w:val="19"/>
          <w:szCs w:val="19"/>
        </w:rPr>
        <w:t xml:space="preserve">Version du 6 octobre 2026 — séance 1 réalisée ; séances 2 à 4 préparées</w:t>
      </w:r>
    </w:p>
    <w:p>
      <w:pPr>
        <w:pStyle w:val="Heading1"/>
      </w:pPr>
      <w:r>
        <w:t xml:space="preserve">Summary for the reviewer (EN)</w:t>
      </w:r>
    </w:p>
    <w:p>
      <w:pPr>
        <w:spacing w:after="120"/>
      </w:pPr>
      <w:r>
        <w:t xml:space="preserve">Dear Mathew, thank you for approving the syllabus. As requested, this folder contains the course materials for </w:t>
      </w:r>
      <w:r>
        <w:rPr>
          <w:b/>
          <w:bCs/>
        </w:rPr>
        <w:t xml:space="preserve">COEXCL – Executive Communication (C-Level)</w:t>
      </w:r>
      <w:r>
        <w:t xml:space="preserve">, MSc2 Cyber, S3. It covers the session already delivered (25 September) and the </w:t>
      </w:r>
      <w:r>
        <w:rPr>
          <w:b/>
          <w:bCs/>
        </w:rPr>
        <w:t xml:space="preserve">17 remaining hours</w:t>
      </w:r>
      <w:r>
        <w:t xml:space="preserve"> (16 October, 6 November, 22 January). Materials are in French, the language of delivery; key English business terms are kept and explained.</w:t>
      </w:r>
    </w:p>
    <w:p>
      <w:pPr>
        <w:pStyle w:val="Heading2"/>
      </w:pPr>
      <w:r>
        <w:t xml:space="preserve">How the folder is organised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433"/>
        <w:gridCol w:w="2700"/>
      </w:tblGrid>
      <w:tr>
        <w:trPr>
          <w:tblHeader/>
        </w:trPr>
        <w:tc>
          <w:tcPr>
            <w:tcW w:type="dxa" w:w="2505"/>
            <w:shd w:fill="1F3A5F" w:color="auto" w:val="clear"/>
            <w:tcMar>
              <w:top w:type="dxa" w:w="60"/>
              <w:left w:type="dxa" w:w="100"/>
              <w:bottom w:type="dxa" w:w="60"/>
              <w:right w:type="dxa" w:w="100"/>
            </w:tcMar>
          </w:tcPr>
          <w:p>
            <w:pPr>
              <w:spacing w:after="40"/>
            </w:pPr>
            <w:r>
              <w:rPr>
                <w:b/>
                <w:bCs/>
                <w:color w:val="FFFFFF"/>
                <w:sz w:val="19"/>
                <w:szCs w:val="19"/>
              </w:rPr>
              <w:t xml:space="preserve">Folder</w:t>
            </w:r>
          </w:p>
        </w:tc>
        <w:tc>
          <w:tcPr>
            <w:tcW w:type="dxa" w:w="4433"/>
            <w:shd w:fill="1F3A5F" w:color="auto" w:val="clear"/>
            <w:tcMar>
              <w:top w:type="dxa" w:w="60"/>
              <w:left w:type="dxa" w:w="100"/>
              <w:bottom w:type="dxa" w:w="60"/>
              <w:right w:type="dxa" w:w="100"/>
            </w:tcMar>
          </w:tcPr>
          <w:p>
            <w:pPr>
              <w:spacing w:after="40"/>
            </w:pPr>
            <w:r>
              <w:rPr>
                <w:b/>
                <w:bCs/>
                <w:color w:val="FFFFFF"/>
                <w:sz w:val="19"/>
                <w:szCs w:val="19"/>
              </w:rPr>
              <w:t xml:space="preserve">Content</w:t>
            </w:r>
          </w:p>
        </w:tc>
        <w:tc>
          <w:tcPr>
            <w:tcW w:type="dxa" w:w="2700"/>
            <w:shd w:fill="1F3A5F" w:color="auto" w:val="clear"/>
            <w:tcMar>
              <w:top w:type="dxa" w:w="60"/>
              <w:left w:type="dxa" w:w="100"/>
              <w:bottom w:type="dxa" w:w="60"/>
              <w:right w:type="dxa" w:w="100"/>
            </w:tcMar>
          </w:tcPr>
          <w:p>
            <w:pPr>
              <w:spacing w:after="40"/>
            </w:pPr>
            <w:r>
              <w:rPr>
                <w:b/>
                <w:bCs/>
                <w:color w:val="FFFFFF"/>
                <w:sz w:val="19"/>
                <w:szCs w:val="19"/>
              </w:rPr>
              <w:t xml:space="preserve">Audience</w:t>
            </w:r>
          </w:p>
        </w:tc>
      </w:tr>
      <w:tr>
        <w:tc>
          <w:tcPr>
            <w:tcW w:type="dxa" w:w="2505"/>
            <w:tcMar>
              <w:top w:type="dxa" w:w="60"/>
              <w:left w:type="dxa" w:w="100"/>
              <w:bottom w:type="dxa" w:w="60"/>
              <w:right w:type="dxa" w:w="100"/>
            </w:tcMar>
          </w:tcPr>
          <w:p>
            <w:pPr>
              <w:spacing w:after="40"/>
            </w:pPr>
            <w:r>
              <w:rPr>
                <w:sz w:val="19"/>
                <w:szCs w:val="19"/>
              </w:rPr>
              <w:t xml:space="preserve">00_Cadrage</w:t>
            </w:r>
          </w:p>
        </w:tc>
        <w:tc>
          <w:tcPr>
            <w:tcW w:type="dxa" w:w="4433"/>
            <w:tcMar>
              <w:top w:type="dxa" w:w="60"/>
              <w:left w:type="dxa" w:w="100"/>
              <w:bottom w:type="dxa" w:w="60"/>
              <w:right w:type="dxa" w:w="100"/>
            </w:tcMar>
          </w:tcPr>
          <w:p>
            <w:pPr>
              <w:spacing w:after="40"/>
            </w:pPr>
            <w:r>
              <w:rPr>
                <w:sz w:val="19"/>
                <w:szCs w:val="19"/>
              </w:rPr>
              <w:t xml:space="preserve">This note; operational syllabus with session plan (20 h), coverage matrix against Boris’s syllabus, assessment scheme, AI rules, accommodations and references.</w:t>
            </w:r>
          </w:p>
        </w:tc>
        <w:tc>
          <w:tcPr>
            <w:tcW w:type="dxa" w:w="2700"/>
            <w:tcMar>
              <w:top w:type="dxa" w:w="60"/>
              <w:left w:type="dxa" w:w="100"/>
              <w:bottom w:type="dxa" w:w="60"/>
              <w:right w:type="dxa" w:w="100"/>
            </w:tcMar>
          </w:tcPr>
          <w:p>
            <w:pPr>
              <w:spacing w:after="40"/>
            </w:pPr>
            <w:r>
              <w:rPr>
                <w:sz w:val="19"/>
                <w:szCs w:val="19"/>
              </w:rPr>
              <w:t xml:space="preserve">Review</w:t>
            </w:r>
          </w:p>
        </w:tc>
      </w:tr>
      <w:tr>
        <w:tc>
          <w:tcPr>
            <w:tcW w:type="dxa" w:w="2505"/>
            <w:shd w:fill="E8EEF5" w:color="auto" w:val="clear"/>
            <w:tcMar>
              <w:top w:type="dxa" w:w="60"/>
              <w:left w:type="dxa" w:w="100"/>
              <w:bottom w:type="dxa" w:w="60"/>
              <w:right w:type="dxa" w:w="100"/>
            </w:tcMar>
          </w:tcPr>
          <w:p>
            <w:pPr>
              <w:spacing w:after="40"/>
            </w:pPr>
            <w:r>
              <w:rPr>
                <w:sz w:val="19"/>
                <w:szCs w:val="19"/>
              </w:rPr>
              <w:t xml:space="preserve">01_Supports_etudiants</w:t>
            </w:r>
          </w:p>
        </w:tc>
        <w:tc>
          <w:tcPr>
            <w:tcW w:type="dxa" w:w="4433"/>
            <w:shd w:fill="E8EEF5" w:color="auto" w:val="clear"/>
            <w:tcMar>
              <w:top w:type="dxa" w:w="60"/>
              <w:left w:type="dxa" w:w="100"/>
              <w:bottom w:type="dxa" w:w="60"/>
              <w:right w:type="dxa" w:w="100"/>
            </w:tcMar>
          </w:tcPr>
          <w:p>
            <w:pPr>
              <w:spacing w:after="40"/>
            </w:pPr>
            <w:r>
              <w:rPr>
                <w:sz w:val="19"/>
                <w:szCs w:val="19"/>
              </w:rPr>
              <w:t xml:space="preserve">25/09: 8-slide deck, ERP case, Note Flash template, peer feedback and diagnostic sheets. 16/10: student booklet (14 p.) and slide deck (25 slides). 6/11: student booklet (ORION case). 22/01: pitch preparation pack (SELENE case).</w:t>
            </w:r>
          </w:p>
        </w:tc>
        <w:tc>
          <w:tcPr>
            <w:tcW w:type="dxa" w:w="2700"/>
            <w:shd w:fill="E8EEF5" w:color="auto" w:val="clear"/>
            <w:tcMar>
              <w:top w:type="dxa" w:w="60"/>
              <w:left w:type="dxa" w:w="100"/>
              <w:bottom w:type="dxa" w:w="60"/>
              <w:right w:type="dxa" w:w="100"/>
            </w:tcMar>
          </w:tcPr>
          <w:p>
            <w:pPr>
              <w:spacing w:after="40"/>
            </w:pPr>
            <w:r>
              <w:rPr>
                <w:sz w:val="19"/>
                <w:szCs w:val="19"/>
              </w:rPr>
              <w:t xml:space="preserve">Students</w:t>
            </w:r>
          </w:p>
        </w:tc>
      </w:tr>
      <w:tr>
        <w:tc>
          <w:tcPr>
            <w:tcW w:type="dxa" w:w="2505"/>
            <w:tcMar>
              <w:top w:type="dxa" w:w="60"/>
              <w:left w:type="dxa" w:w="100"/>
              <w:bottom w:type="dxa" w:w="60"/>
              <w:right w:type="dxa" w:w="100"/>
            </w:tcMar>
          </w:tcPr>
          <w:p>
            <w:pPr>
              <w:spacing w:after="40"/>
            </w:pPr>
            <w:r>
              <w:rPr>
                <w:sz w:val="19"/>
                <w:szCs w:val="19"/>
              </w:rPr>
              <w:t xml:space="preserve">02_Reserve_formateur</w:t>
            </w:r>
          </w:p>
        </w:tc>
        <w:tc>
          <w:tcPr>
            <w:tcW w:type="dxa" w:w="4433"/>
            <w:tcMar>
              <w:top w:type="dxa" w:w="60"/>
              <w:left w:type="dxa" w:w="100"/>
              <w:bottom w:type="dxa" w:w="60"/>
              <w:right w:type="dxa" w:w="100"/>
            </w:tcMar>
          </w:tcPr>
          <w:p>
            <w:pPr>
              <w:spacing w:after="40"/>
            </w:pPr>
            <w:r>
              <w:rPr>
                <w:sz w:val="19"/>
                <w:szCs w:val="19"/>
              </w:rPr>
              <w:t xml:space="preserve">Trainer guides with answer keys (16/10 and 6/11); written exam NEREIS (subject, key, rubric); oral exam SELENE (jury pack, questions, key, rubric); participation rubric and tracking sheet; resit exam.</w:t>
            </w:r>
          </w:p>
        </w:tc>
        <w:tc>
          <w:tcPr>
            <w:tcW w:type="dxa" w:w="2700"/>
            <w:tcMar>
              <w:top w:type="dxa" w:w="60"/>
              <w:left w:type="dxa" w:w="100"/>
              <w:bottom w:type="dxa" w:w="60"/>
              <w:right w:type="dxa" w:w="100"/>
            </w:tcMar>
          </w:tcPr>
          <w:p>
            <w:pPr>
              <w:spacing w:after="40"/>
            </w:pPr>
            <w:r>
              <w:rPr>
                <w:sz w:val="19"/>
                <w:szCs w:val="19"/>
              </w:rPr>
              <w:t xml:space="preserve">Trainer and reviewer only — not to be shared with students</w:t>
            </w:r>
          </w:p>
        </w:tc>
      </w:tr>
    </w:tbl>
    <w:p>
      <w:pPr>
        <w:spacing w:after="120"/>
      </w:pPr>
    </w:p>
    <w:p>
      <w:pPr>
        <w:pStyle w:val="Heading2"/>
      </w:pPr>
      <w:r>
        <w:t xml:space="preserve">Course design in one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4337"/>
        <w:gridCol w:w="2411"/>
      </w:tblGrid>
      <w:tr>
        <w:trPr>
          <w:tblHeader/>
        </w:trPr>
        <w:tc>
          <w:tcPr>
            <w:tcW w:type="dxa" w:w="1927"/>
            <w:shd w:fill="1F3A5F" w:color="auto" w:val="clear"/>
            <w:tcMar>
              <w:top w:type="dxa" w:w="60"/>
              <w:left w:type="dxa" w:w="100"/>
              <w:bottom w:type="dxa" w:w="60"/>
              <w:right w:type="dxa" w:w="100"/>
            </w:tcMar>
          </w:tcPr>
          <w:p>
            <w:pPr>
              <w:spacing w:after="40"/>
            </w:pPr>
            <w:r>
              <w:rPr>
                <w:b/>
                <w:bCs/>
                <w:color w:val="FFFFFF"/>
                <w:sz w:val="19"/>
                <w:szCs w:val="19"/>
              </w:rPr>
              <w:t xml:space="preserve">Date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Hours</w:t>
            </w:r>
          </w:p>
        </w:tc>
        <w:tc>
          <w:tcPr>
            <w:tcW w:type="dxa" w:w="4337"/>
            <w:shd w:fill="1F3A5F" w:color="auto" w:val="clear"/>
            <w:tcMar>
              <w:top w:type="dxa" w:w="60"/>
              <w:left w:type="dxa" w:w="100"/>
              <w:bottom w:type="dxa" w:w="60"/>
              <w:right w:type="dxa" w:w="100"/>
            </w:tcMar>
          </w:tcPr>
          <w:p>
            <w:pPr>
              <w:spacing w:after="40"/>
            </w:pPr>
            <w:r>
              <w:rPr>
                <w:b/>
                <w:bCs/>
                <w:color w:val="FFFFFF"/>
                <w:sz w:val="19"/>
                <w:szCs w:val="19"/>
              </w:rPr>
              <w:t xml:space="preserve">Focus</w:t>
            </w:r>
          </w:p>
        </w:tc>
        <w:tc>
          <w:tcPr>
            <w:tcW w:type="dxa" w:w="2411"/>
            <w:shd w:fill="1F3A5F" w:color="auto" w:val="clear"/>
            <w:tcMar>
              <w:top w:type="dxa" w:w="60"/>
              <w:left w:type="dxa" w:w="100"/>
              <w:bottom w:type="dxa" w:w="60"/>
              <w:right w:type="dxa" w:w="100"/>
            </w:tcMar>
          </w:tcPr>
          <w:p>
            <w:pPr>
              <w:spacing w:after="40"/>
            </w:pPr>
            <w:r>
              <w:rPr>
                <w:b/>
                <w:bCs/>
                <w:color w:val="FFFFFF"/>
                <w:sz w:val="19"/>
                <w:szCs w:val="19"/>
              </w:rPr>
              <w:t xml:space="preserve">Evidence</w:t>
            </w:r>
          </w:p>
        </w:tc>
      </w:tr>
      <w:tr>
        <w:tc>
          <w:tcPr>
            <w:tcW w:type="dxa" w:w="1927"/>
            <w:tcMar>
              <w:top w:type="dxa" w:w="60"/>
              <w:left w:type="dxa" w:w="100"/>
              <w:bottom w:type="dxa" w:w="60"/>
              <w:right w:type="dxa" w:w="100"/>
            </w:tcMar>
          </w:tcPr>
          <w:p>
            <w:pPr>
              <w:spacing w:after="40"/>
            </w:pPr>
            <w:r>
              <w:rPr>
                <w:sz w:val="19"/>
                <w:szCs w:val="19"/>
              </w:rPr>
              <w:t xml:space="preserve">25 Sept 2026 (delivered)</w:t>
            </w:r>
          </w:p>
        </w:tc>
        <w:tc>
          <w:tcPr>
            <w:tcW w:type="dxa" w:w="963"/>
            <w:tcMar>
              <w:top w:type="dxa" w:w="60"/>
              <w:left w:type="dxa" w:w="100"/>
              <w:bottom w:type="dxa" w:w="60"/>
              <w:right w:type="dxa" w:w="100"/>
            </w:tcMar>
          </w:tcPr>
          <w:p>
            <w:pPr>
              <w:spacing w:after="40"/>
            </w:pPr>
            <w:r>
              <w:rPr>
                <w:sz w:val="19"/>
                <w:szCs w:val="19"/>
              </w:rPr>
              <w:t xml:space="preserve">3 h</w:t>
            </w:r>
          </w:p>
        </w:tc>
        <w:tc>
          <w:tcPr>
            <w:tcW w:type="dxa" w:w="4337"/>
            <w:tcMar>
              <w:top w:type="dxa" w:w="60"/>
              <w:left w:type="dxa" w:w="100"/>
              <w:bottom w:type="dxa" w:w="60"/>
              <w:right w:type="dxa" w:w="100"/>
            </w:tcMar>
          </w:tcPr>
          <w:p>
            <w:pPr>
              <w:spacing w:after="40"/>
            </w:pPr>
            <w:r>
              <w:rPr>
                <w:sz w:val="19"/>
                <w:szCs w:val="19"/>
              </w:rPr>
              <w:t xml:space="preserve">C-level expectations, SCQA, Bottom-Line First; ERP case (EUR 4,500); first Executive Flash Note and 2-min pitch.</w:t>
            </w:r>
          </w:p>
        </w:tc>
        <w:tc>
          <w:tcPr>
            <w:tcW w:type="dxa" w:w="2411"/>
            <w:tcMar>
              <w:top w:type="dxa" w:w="60"/>
              <w:left w:type="dxa" w:w="100"/>
              <w:bottom w:type="dxa" w:w="60"/>
              <w:right w:type="dxa" w:w="100"/>
            </w:tcMar>
          </w:tcPr>
          <w:p>
            <w:pPr>
              <w:spacing w:after="40"/>
            </w:pPr>
            <w:r>
              <w:rPr>
                <w:sz w:val="19"/>
                <w:szCs w:val="19"/>
              </w:rPr>
              <w:t xml:space="preserve">Flash Note V1 (kept)</w:t>
            </w:r>
          </w:p>
        </w:tc>
      </w:tr>
      <w:tr>
        <w:tc>
          <w:tcPr>
            <w:tcW w:type="dxa" w:w="1927"/>
            <w:shd w:fill="E8EEF5" w:color="auto" w:val="clear"/>
            <w:tcMar>
              <w:top w:type="dxa" w:w="60"/>
              <w:left w:type="dxa" w:w="100"/>
              <w:bottom w:type="dxa" w:w="60"/>
              <w:right w:type="dxa" w:w="100"/>
            </w:tcMar>
          </w:tcPr>
          <w:p>
            <w:pPr>
              <w:spacing w:after="40"/>
            </w:pPr>
            <w:r>
              <w:rPr>
                <w:sz w:val="19"/>
                <w:szCs w:val="19"/>
              </w:rPr>
              <w:t xml:space="preserve">16 Oct 2026</w:t>
            </w:r>
          </w:p>
        </w:tc>
        <w:tc>
          <w:tcPr>
            <w:tcW w:type="dxa" w:w="963"/>
            <w:shd w:fill="E8EEF5" w:color="auto" w:val="clear"/>
            <w:tcMar>
              <w:top w:type="dxa" w:w="60"/>
              <w:left w:type="dxa" w:w="100"/>
              <w:bottom w:type="dxa" w:w="60"/>
              <w:right w:type="dxa" w:w="100"/>
            </w:tcMar>
          </w:tcPr>
          <w:p>
            <w:pPr>
              <w:spacing w:after="40"/>
            </w:pPr>
            <w:r>
              <w:rPr>
                <w:sz w:val="19"/>
                <w:szCs w:val="19"/>
              </w:rPr>
              <w:t xml:space="preserve">7 h</w:t>
            </w:r>
          </w:p>
        </w:tc>
        <w:tc>
          <w:tcPr>
            <w:tcW w:type="dxa" w:w="4337"/>
            <w:shd w:fill="E8EEF5" w:color="auto" w:val="clear"/>
            <w:tcMar>
              <w:top w:type="dxa" w:w="60"/>
              <w:left w:type="dxa" w:w="100"/>
              <w:bottom w:type="dxa" w:w="60"/>
              <w:right w:type="dxa" w:w="100"/>
            </w:tcMar>
          </w:tcPr>
          <w:p>
            <w:pPr>
              <w:spacing w:after="40"/>
            </w:pPr>
            <w:r>
              <w:rPr>
                <w:sz w:val="19"/>
                <w:szCs w:val="19"/>
              </w:rPr>
              <w:t xml:space="preserve">Practice before assessment: rewrite the note (V2), repeated short oral trials with feedback, CEO/CFO/COO adaptation, transfer to a new case (ALTA).</w:t>
            </w:r>
          </w:p>
        </w:tc>
        <w:tc>
          <w:tcPr>
            <w:tcW w:type="dxa" w:w="2411"/>
            <w:shd w:fill="E8EEF5" w:color="auto" w:val="clear"/>
            <w:tcMar>
              <w:top w:type="dxa" w:w="60"/>
              <w:left w:type="dxa" w:w="100"/>
              <w:bottom w:type="dxa" w:w="60"/>
              <w:right w:type="dxa" w:w="100"/>
            </w:tcMar>
          </w:tcPr>
          <w:p>
            <w:pPr>
              <w:spacing w:after="40"/>
            </w:pPr>
            <w:r>
              <w:rPr>
                <w:sz w:val="19"/>
                <w:szCs w:val="19"/>
              </w:rPr>
              <w:t xml:space="preserve">Formative traces</w:t>
            </w:r>
          </w:p>
        </w:tc>
      </w:tr>
      <w:tr>
        <w:tc>
          <w:tcPr>
            <w:tcW w:type="dxa" w:w="1927"/>
            <w:tcMar>
              <w:top w:type="dxa" w:w="60"/>
              <w:left w:type="dxa" w:w="100"/>
              <w:bottom w:type="dxa" w:w="60"/>
              <w:right w:type="dxa" w:w="100"/>
            </w:tcMar>
          </w:tcPr>
          <w:p>
            <w:pPr>
              <w:spacing w:after="40"/>
            </w:pPr>
            <w:r>
              <w:rPr>
                <w:sz w:val="19"/>
                <w:szCs w:val="19"/>
              </w:rPr>
              <w:t xml:space="preserve">6 Nov 2026</w:t>
            </w:r>
          </w:p>
        </w:tc>
        <w:tc>
          <w:tcPr>
            <w:tcW w:type="dxa" w:w="963"/>
            <w:tcMar>
              <w:top w:type="dxa" w:w="60"/>
              <w:left w:type="dxa" w:w="100"/>
              <w:bottom w:type="dxa" w:w="60"/>
              <w:right w:type="dxa" w:w="100"/>
            </w:tcMar>
          </w:tcPr>
          <w:p>
            <w:pPr>
              <w:spacing w:after="40"/>
            </w:pPr>
            <w:r>
              <w:rPr>
                <w:sz w:val="19"/>
                <w:szCs w:val="19"/>
              </w:rPr>
              <w:t xml:space="preserve">7 h</w:t>
            </w:r>
          </w:p>
        </w:tc>
        <w:tc>
          <w:tcPr>
            <w:tcW w:type="dxa" w:w="4337"/>
            <w:tcMar>
              <w:top w:type="dxa" w:w="60"/>
              <w:left w:type="dxa" w:w="100"/>
              <w:bottom w:type="dxa" w:w="60"/>
              <w:right w:type="dxa" w:w="100"/>
            </w:tcMar>
          </w:tcPr>
          <w:p>
            <w:pPr>
              <w:spacing w:after="40"/>
            </w:pPr>
            <w:r>
              <w:rPr>
                <w:sz w:val="19"/>
                <w:szCs w:val="19"/>
              </w:rPr>
              <w:t xml:space="preserve">Options comparison, decision visuals, post-incident messages (ORION case), full pitch rehearsal; then </w:t>
            </w:r>
            <w:r>
              <w:rPr>
                <w:b/>
                <w:bCs/>
                <w:sz w:val="19"/>
                <w:szCs w:val="19"/>
              </w:rPr>
              <w:t xml:space="preserve">individual written exam NEREIS (120 min)</w:t>
            </w:r>
            <w:r>
              <w:rPr>
                <w:sz w:val="19"/>
                <w:szCs w:val="19"/>
              </w:rPr>
              <w:t xml:space="preserve">.</w:t>
            </w:r>
          </w:p>
        </w:tc>
        <w:tc>
          <w:tcPr>
            <w:tcW w:type="dxa" w:w="2411"/>
            <w:tcMar>
              <w:top w:type="dxa" w:w="60"/>
              <w:left w:type="dxa" w:w="100"/>
              <w:bottom w:type="dxa" w:w="60"/>
              <w:right w:type="dxa" w:w="100"/>
            </w:tcMar>
          </w:tcPr>
          <w:p>
            <w:pPr>
              <w:spacing w:after="40"/>
            </w:pPr>
            <w:r>
              <w:rPr>
                <w:sz w:val="19"/>
                <w:szCs w:val="19"/>
              </w:rPr>
              <w:t xml:space="preserve">Written report /20</w:t>
            </w:r>
          </w:p>
        </w:tc>
      </w:tr>
      <w:tr>
        <w:tc>
          <w:tcPr>
            <w:tcW w:type="dxa" w:w="1927"/>
            <w:shd w:fill="E8EEF5" w:color="auto" w:val="clear"/>
            <w:tcMar>
              <w:top w:type="dxa" w:w="60"/>
              <w:left w:type="dxa" w:w="100"/>
              <w:bottom w:type="dxa" w:w="60"/>
              <w:right w:type="dxa" w:w="100"/>
            </w:tcMar>
          </w:tcPr>
          <w:p>
            <w:pPr>
              <w:spacing w:after="40"/>
            </w:pPr>
            <w:r>
              <w:rPr>
                <w:sz w:val="19"/>
                <w:szCs w:val="19"/>
              </w:rPr>
              <w:t xml:space="preserve">22 Jan 2027</w:t>
            </w:r>
          </w:p>
        </w:tc>
        <w:tc>
          <w:tcPr>
            <w:tcW w:type="dxa" w:w="963"/>
            <w:shd w:fill="E8EEF5" w:color="auto" w:val="clear"/>
            <w:tcMar>
              <w:top w:type="dxa" w:w="60"/>
              <w:left w:type="dxa" w:w="100"/>
              <w:bottom w:type="dxa" w:w="60"/>
              <w:right w:type="dxa" w:w="100"/>
            </w:tcMar>
          </w:tcPr>
          <w:p>
            <w:pPr>
              <w:spacing w:after="40"/>
            </w:pPr>
            <w:r>
              <w:rPr>
                <w:sz w:val="19"/>
                <w:szCs w:val="19"/>
              </w:rPr>
              <w:t xml:space="preserve">3 h</w:t>
            </w:r>
          </w:p>
        </w:tc>
        <w:tc>
          <w:tcPr>
            <w:tcW w:type="dxa" w:w="4337"/>
            <w:shd w:fill="E8EEF5" w:color="auto" w:val="clear"/>
            <w:tcMar>
              <w:top w:type="dxa" w:w="60"/>
              <w:left w:type="dxa" w:w="100"/>
              <w:bottom w:type="dxa" w:w="60"/>
              <w:right w:type="dxa" w:w="100"/>
            </w:tcMar>
          </w:tcPr>
          <w:p>
            <w:pPr>
              <w:spacing w:after="40"/>
            </w:pPr>
            <w:r>
              <w:rPr>
                <w:b/>
                <w:bCs/>
                <w:sz w:val="19"/>
                <w:szCs w:val="19"/>
              </w:rPr>
              <w:t xml:space="preserve">Individual pitch SELENE</w:t>
            </w:r>
            <w:r>
              <w:rPr>
                <w:sz w:val="19"/>
                <w:szCs w:val="19"/>
              </w:rPr>
              <w:t xml:space="preserve">: 5 min + 3 min of questions, one visual.</w:t>
            </w:r>
          </w:p>
        </w:tc>
        <w:tc>
          <w:tcPr>
            <w:tcW w:type="dxa" w:w="2411"/>
            <w:shd w:fill="E8EEF5" w:color="auto" w:val="clear"/>
            <w:tcMar>
              <w:top w:type="dxa" w:w="60"/>
              <w:left w:type="dxa" w:w="100"/>
              <w:bottom w:type="dxa" w:w="60"/>
              <w:right w:type="dxa" w:w="100"/>
            </w:tcMar>
          </w:tcPr>
          <w:p>
            <w:pPr>
              <w:spacing w:after="40"/>
            </w:pPr>
            <w:r>
              <w:rPr>
                <w:sz w:val="19"/>
                <w:szCs w:val="19"/>
              </w:rPr>
              <w:t xml:space="preserve">Pitch /20</w:t>
            </w:r>
          </w:p>
        </w:tc>
      </w:tr>
    </w:tbl>
    <w:p>
      <w:pPr>
        <w:spacing w:after="120"/>
      </w:pPr>
    </w:p>
    <w:p>
      <w:pPr>
        <w:spacing w:after="120"/>
      </w:pPr>
      <w:r>
        <w:t xml:space="preserve">All six learning outcomes of the approved syllabus and all eight content topics of Boris’s ECUE sheet are practised and assessed by individual evidence (matrix in file 00_Cadrage/COEXCL_01, section 6).</w:t>
      </w:r>
    </w:p>
    <w:p>
      <w:pPr>
        <w:pStyle w:val="Heading2"/>
      </w:pPr>
      <w:r>
        <w:t xml:space="preserve">Points I need you (or EPITA) to confirm</w:t>
      </w:r>
    </w:p>
    <w:p>
      <w:pPr>
        <w:pStyle w:val="ListParagraph"/>
        <w:numPr>
          <w:ilvl w:val="0"/>
          <w:numId w:val="2"/>
        </w:numPr>
        <w:spacing w:after="60"/>
      </w:pPr>
      <w:r>
        <w:rPr>
          <w:b/>
          <w:bCs/>
        </w:rPr>
        <w:t xml:space="preserve">Grading scheme.</w:t>
      </w:r>
      <w:r>
        <w:t xml:space="preserve"> Boris’s ECUE sheet states </w:t>
      </w:r>
      <w:r>
        <w:rPr>
          <w:i/>
          <w:iCs/>
        </w:rPr>
        <w:t xml:space="preserve">final pitch 50 % + written executive report 35 % + workshop participation 15 %</w:t>
      </w:r>
      <w:r>
        <w:t xml:space="preserve">; the Speaker Kit states </w:t>
      </w:r>
      <w:r>
        <w:rPr>
          <w:i/>
          <w:iCs/>
        </w:rPr>
        <w:t xml:space="preserve">attendance 20 % + continuous assessment 30 % + final exam 50 %</w:t>
      </w:r>
      <w:r>
        <w:t xml:space="preserve">. I designed the course on the ECUE sheet (50/35/15). The same assessments also fit the Kit (attendance 20 % / NEREIS 30 % / SELENE 50 %). Which framework applies to COEXCL?</w:t>
      </w:r>
    </w:p>
    <w:p>
      <w:pPr>
        <w:pStyle w:val="ListParagraph"/>
        <w:numPr>
          <w:ilvl w:val="0"/>
          <w:numId w:val="2"/>
        </w:numPr>
        <w:spacing w:after="60"/>
      </w:pPr>
      <w:r>
        <w:rPr>
          <w:b/>
          <w:bCs/>
        </w:rPr>
        <w:t xml:space="preserve">Work-study students.</w:t>
      </w:r>
      <w:r>
        <w:t xml:space="preserve"> Seven students attended on 25 September; the others were in company. The ECUE sheet lists COEXCL as FI only (no APP hours). Are work-study students enrolled in this module, and if so how should their attendance and catch-up be handled?</w:t>
      </w:r>
    </w:p>
    <w:p>
      <w:pPr>
        <w:pStyle w:val="ListParagraph"/>
        <w:numPr>
          <w:ilvl w:val="0"/>
          <w:numId w:val="2"/>
        </w:numPr>
        <w:spacing w:after="60"/>
      </w:pPr>
      <w:r>
        <w:rPr>
          <w:b/>
          <w:bCs/>
        </w:rPr>
        <w:t xml:space="preserve">Exam date.</w:t>
      </w:r>
      <w:r>
        <w:t xml:space="preserve"> The pitch is planned on 22 January (last session). EPITA’s guidance says the final exam must take place during the exam week. Please confirm that 22 January is acceptable or that it falls in the exam week.</w:t>
      </w:r>
    </w:p>
    <w:p>
      <w:pPr>
        <w:pStyle w:val="ListParagraph"/>
        <w:numPr>
          <w:ilvl w:val="0"/>
          <w:numId w:val="2"/>
        </w:numPr>
        <w:spacing w:after="60"/>
      </w:pPr>
      <w:r>
        <w:rPr>
          <w:b/>
          <w:bCs/>
        </w:rPr>
        <w:t xml:space="preserve">Headcount and jury.</w:t>
      </w:r>
      <w:r>
        <w:t xml:space="preserve"> The 3-hour slot allows up to 16 pitches (9 min each). A second juror (you or an industry professional) would make it a “mixed jury”, as stated in the ECUE sheet.</w:t>
      </w:r>
    </w:p>
    <w:p>
      <w:pPr>
        <w:pStyle w:val="ListParagraph"/>
        <w:numPr>
          <w:ilvl w:val="0"/>
          <w:numId w:val="2"/>
        </w:numPr>
        <w:spacing w:after="60"/>
      </w:pPr>
      <w:r>
        <w:rPr>
          <w:b/>
          <w:bCs/>
        </w:rPr>
        <w:t xml:space="preserve">English.</w:t>
      </w:r>
      <w:r>
        <w:t xml:space="preserve"> You suggested asking Boris Yepmo how much English is required. Until then, delivery and assessments are in French, without a graded English criterion.</w:t>
      </w:r>
    </w:p>
    <w:p>
      <w:pPr>
        <w:pStyle w:val="Heading2"/>
      </w:pPr>
      <w:r>
        <w:t xml:space="preserve">Status of the materials</w:t>
      </w:r>
    </w:p>
    <w:p>
      <w:pPr>
        <w:pStyle w:val="ListParagraph"/>
        <w:numPr>
          <w:ilvl w:val="0"/>
          <w:numId w:val="3"/>
        </w:numPr>
        <w:spacing w:after="60"/>
      </w:pPr>
      <w:r>
        <w:t xml:space="preserve">25/09: delivered; materials are the originals used.</w:t>
      </w:r>
    </w:p>
    <w:p>
      <w:pPr>
        <w:pStyle w:val="ListParagraph"/>
        <w:numPr>
          <w:ilvl w:val="0"/>
          <w:numId w:val="3"/>
        </w:numPr>
        <w:spacing w:after="60"/>
      </w:pPr>
      <w:r>
        <w:t xml:space="preserve">16/10: content approved by the trainer; booklet and slides ready.</w:t>
      </w:r>
    </w:p>
    <w:p>
      <w:pPr>
        <w:pStyle w:val="ListParagraph"/>
        <w:numPr>
          <w:ilvl w:val="0"/>
          <w:numId w:val="3"/>
        </w:numPr>
        <w:spacing w:after="60"/>
      </w:pPr>
      <w:r>
        <w:t xml:space="preserve">6/11 and 22/01: complete proposals (cases, instructions, answer keys, rubrics /20), open to your review.</w:t>
      </w:r>
    </w:p>
    <w:p>
      <w:pPr>
        <w:pStyle w:val="ListParagraph"/>
        <w:numPr>
          <w:ilvl w:val="0"/>
          <w:numId w:val="3"/>
        </w:numPr>
        <w:spacing w:after="60"/>
      </w:pPr>
      <w:r>
        <w:t xml:space="preserve">The 6/11 slide deck will be produced before the session.</w:t>
      </w:r>
    </w:p>
    <w:p>
      <w:pPr>
        <w:pStyle w:val="Heading1"/>
      </w:pPr>
      <w:r>
        <w:t xml:space="preserve">Résumé (FR)</w:t>
      </w:r>
    </w:p>
    <w:p>
      <w:pPr>
        <w:spacing w:after="120"/>
      </w:pPr>
      <w:r>
        <w:t xml:space="preserve">Le dossier couvre la séance réalisée du 25/09 et les 17 heures restantes. Les supports étudiants sont séparés des sujets, corrigés et grilles réservés. Les points à confirmer sont : la pondération (fiche ECUE 50/35/15 ou Kit 20/30/50), la situation des alternants, la date de l’examen oral, l’effectif et le jury, la place de l’anglais.</w:t>
      </w:r>
    </w:p>
    <w:p/>
    <w:p>
      <w:pPr>
        <w:spacing w:after="120"/>
      </w:pPr>
      <w:r>
        <w:t xml:space="preserve">BOURHANI Aboubakar Nizam — 06 76 82 76 88 — aboubakar-nizam.bourhani@epita.fr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Note de transmission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transmission</dc:title>
  <dc:creator>Nizam BOURHANI</dc:creator>
  <cp:lastModifiedBy>Un-named</cp:lastModifiedBy>
  <cp:revision>1</cp:revision>
  <dcterms:created xsi:type="dcterms:W3CDTF">2026-10-06T18:11:03.355Z</dcterms:created>
  <dcterms:modified xsi:type="dcterms:W3CDTF">2026-10-06T18:11:03.368Z</dcterms:modified>
</cp:coreProperties>
</file>

<file path=docProps/custom.xml><?xml version="1.0" encoding="utf-8"?>
<Properties xmlns="http://schemas.openxmlformats.org/officeDocument/2006/custom-properties" xmlns:vt="http://schemas.openxmlformats.org/officeDocument/2006/docPropsVTypes"/>
</file>