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18"/>
          <w:szCs w:val="18"/>
        </w:rPr>
        <w:t xml:space="preserve">EPITA Paris · MSc Informatique &amp; Management · Parcours Cybersécurité (MSc2, S3 2026-2027)</w:t>
      </w:r>
    </w:p>
    <w:p>
      <w:pPr>
        <w:spacing w:after="80"/>
      </w:pPr>
      <w:r>
        <w:rPr>
          <w:b/>
          <w:bCs/>
          <w:color w:val="1F3A5F"/>
          <w:sz w:val="40"/>
          <w:szCs w:val="40"/>
        </w:rPr>
        <w:t xml:space="preserve">Préparer le pitch du 22 janvier</w:t>
      </w:r>
    </w:p>
    <w:p>
      <w:pPr>
        <w:spacing w:after="120"/>
      </w:pPr>
      <w:r>
        <w:rPr>
          <w:color w:val="444444"/>
          <w:sz w:val="24"/>
          <w:szCs w:val="24"/>
        </w:rPr>
        <w:t xml:space="preserve">Cas SELENE — épreuve orale individuelle</w:t>
      </w:r>
    </w:p>
    <w:p>
      <w:pPr>
        <w:pBdr>
          <w:bottom w:val="single" w:color="1F3A5F" w:sz="8" w:space="4"/>
        </w:pBdr>
        <w:spacing w:after="240"/>
      </w:pPr>
      <w:r>
        <w:rPr>
          <w:sz w:val="19"/>
          <w:szCs w:val="19"/>
        </w:rPr>
        <w:t xml:space="preserve">ECUE </w:t>
      </w:r>
      <w:r>
        <w:rPr>
          <w:b/>
          <w:bCs/>
          <w:sz w:val="19"/>
          <w:szCs w:val="19"/>
        </w:rPr>
        <w:t xml:space="preserve">COEXCL</w:t>
      </w:r>
      <w:r>
        <w:rPr>
          <w:sz w:val="19"/>
          <w:szCs w:val="19"/>
        </w:rPr>
        <w:t xml:space="preserve"> — Communication exécutive (C-Level) · 20 h · 2 ECTS · Intervenant : BOURHANI Aboubakar Nizam</w:t>
      </w:r>
    </w:p>
    <w:p>
      <w:pPr>
        <w:shd w:fill="E3F2EA" w:color="auto" w:val="clear"/>
        <w:spacing w:after="200"/>
      </w:pPr>
      <w:r>
        <w:rPr>
          <w:b/>
          <w:bCs/>
          <w:sz w:val="19"/>
          <w:szCs w:val="19"/>
        </w:rPr>
        <w:t xml:space="preserve">Support étudiant — à remettre 7 jours avant l’épreuve</w:t>
      </w:r>
    </w:p>
    <w:p>
      <w:pPr>
        <w:pStyle w:val="Heading1"/>
      </w:pPr>
      <w:r>
        <w:t xml:space="preserve">L’épreuve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1F3A5F" w:color="auto" w:val="clear"/>
            <w:tcMar>
              <w:top w:type="dxa" w:w="60"/>
              <w:left w:type="dxa" w:w="100"/>
              <w:bottom w:type="dxa" w:w="60"/>
              <w:right w:type="dxa" w:w="100"/>
            </w:tcMar>
          </w:tcPr>
          <w:p>
            <w:pPr>
              <w:spacing w:after="40"/>
            </w:pPr>
          </w:p>
        </w:tc>
        <w:tc>
          <w:tcPr>
            <w:tcW w:type="dxa" w:w="6747"/>
            <w:shd w:fill="1F3A5F" w:color="auto" w:val="clear"/>
            <w:tcMar>
              <w:top w:type="dxa" w:w="60"/>
              <w:left w:type="dxa" w:w="100"/>
              <w:bottom w:type="dxa" w:w="60"/>
              <w:right w:type="dxa" w:w="100"/>
            </w:tcMar>
          </w:tcPr>
          <w:p>
            <w:pPr>
              <w:spacing w:after="40"/>
            </w:pPr>
          </w:p>
        </w:tc>
      </w:tr>
      <w:tr>
        <w:tc>
          <w:tcPr>
            <w:tcW w:type="dxa" w:w="2891"/>
            <w:tcMar>
              <w:top w:type="dxa" w:w="60"/>
              <w:left w:type="dxa" w:w="100"/>
              <w:bottom w:type="dxa" w:w="60"/>
              <w:right w:type="dxa" w:w="100"/>
            </w:tcMar>
          </w:tcPr>
          <w:p>
            <w:pPr>
              <w:spacing w:after="40"/>
            </w:pPr>
            <w:r>
              <w:rPr>
                <w:sz w:val="19"/>
                <w:szCs w:val="19"/>
              </w:rPr>
              <w:t xml:space="preserve">Format</w:t>
            </w:r>
          </w:p>
        </w:tc>
        <w:tc>
          <w:tcPr>
            <w:tcW w:type="dxa" w:w="6747"/>
            <w:tcMar>
              <w:top w:type="dxa" w:w="60"/>
              <w:left w:type="dxa" w:w="100"/>
              <w:bottom w:type="dxa" w:w="60"/>
              <w:right w:type="dxa" w:w="100"/>
            </w:tcMar>
          </w:tcPr>
          <w:p>
            <w:pPr>
              <w:spacing w:after="40"/>
            </w:pPr>
            <w:r>
              <w:rPr>
                <w:sz w:val="19"/>
                <w:szCs w:val="19"/>
              </w:rPr>
              <w:t xml:space="preserve">Individuel. 5 minutes de présentation, puis 3 minutes pour répondre à deux questions du jury.</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Support</w:t>
            </w:r>
          </w:p>
        </w:tc>
        <w:tc>
          <w:tcPr>
            <w:tcW w:type="dxa" w:w="6747"/>
            <w:shd w:fill="E8EEF5" w:color="auto" w:val="clear"/>
            <w:tcMar>
              <w:top w:type="dxa" w:w="60"/>
              <w:left w:type="dxa" w:w="100"/>
              <w:bottom w:type="dxa" w:w="60"/>
              <w:right w:type="dxa" w:w="100"/>
            </w:tcMar>
          </w:tcPr>
          <w:p>
            <w:pPr>
              <w:spacing w:after="40"/>
            </w:pPr>
            <w:r>
              <w:rPr>
                <w:sz w:val="19"/>
                <w:szCs w:val="19"/>
              </w:rPr>
              <w:t xml:space="preserve">Une seule slide ou une page A4 : comparaison, recommandation et une limite. Un support manuscrit est accepté. À remettre avant le premier passage du groupe.</w:t>
            </w:r>
          </w:p>
        </w:tc>
      </w:tr>
      <w:tr>
        <w:tc>
          <w:tcPr>
            <w:tcW w:type="dxa" w:w="2891"/>
            <w:tcMar>
              <w:top w:type="dxa" w:w="60"/>
              <w:left w:type="dxa" w:w="100"/>
              <w:bottom w:type="dxa" w:w="60"/>
              <w:right w:type="dxa" w:w="100"/>
            </w:tcMar>
          </w:tcPr>
          <w:p>
            <w:pPr>
              <w:spacing w:after="40"/>
            </w:pPr>
            <w:r>
              <w:rPr>
                <w:sz w:val="19"/>
                <w:szCs w:val="19"/>
              </w:rPr>
              <w:t xml:space="preserve">Notes</w:t>
            </w:r>
          </w:p>
        </w:tc>
        <w:tc>
          <w:tcPr>
            <w:tcW w:type="dxa" w:w="6747"/>
            <w:tcMar>
              <w:top w:type="dxa" w:w="60"/>
              <w:left w:type="dxa" w:w="100"/>
              <w:bottom w:type="dxa" w:w="60"/>
              <w:right w:type="dxa" w:w="100"/>
            </w:tcMar>
          </w:tcPr>
          <w:p>
            <w:pPr>
              <w:spacing w:after="40"/>
            </w:pPr>
            <w:r>
              <w:rPr>
                <w:sz w:val="19"/>
                <w:szCs w:val="19"/>
              </w:rPr>
              <w:t xml:space="preserve">Autorisées.</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Préparation</w:t>
            </w:r>
          </w:p>
        </w:tc>
        <w:tc>
          <w:tcPr>
            <w:tcW w:type="dxa" w:w="6747"/>
            <w:shd w:fill="E8EEF5" w:color="auto" w:val="clear"/>
            <w:tcMar>
              <w:top w:type="dxa" w:w="60"/>
              <w:left w:type="dxa" w:w="100"/>
              <w:bottom w:type="dxa" w:w="60"/>
              <w:right w:type="dxa" w:w="100"/>
            </w:tcMar>
          </w:tcPr>
          <w:p>
            <w:pPr>
              <w:spacing w:after="40"/>
            </w:pPr>
            <w:r>
              <w:rPr>
                <w:sz w:val="19"/>
                <w:szCs w:val="19"/>
              </w:rPr>
              <w:t xml:space="preserve">Les aides utilisées pour préparer (y compris l’IA) sont à déclarer en bas de votre support. Pendant le passage, aucun outil ne génère vos réponses.</w:t>
            </w:r>
          </w:p>
        </w:tc>
      </w:tr>
      <w:tr>
        <w:tc>
          <w:tcPr>
            <w:tcW w:type="dxa" w:w="2891"/>
            <w:tcMar>
              <w:top w:type="dxa" w:w="60"/>
              <w:left w:type="dxa" w:w="100"/>
              <w:bottom w:type="dxa" w:w="60"/>
              <w:right w:type="dxa" w:w="100"/>
            </w:tcMar>
          </w:tcPr>
          <w:p>
            <w:pPr>
              <w:spacing w:after="40"/>
            </w:pPr>
            <w:r>
              <w:rPr>
                <w:sz w:val="19"/>
                <w:szCs w:val="19"/>
              </w:rPr>
              <w:t xml:space="preserve">Chronomètre</w:t>
            </w:r>
          </w:p>
        </w:tc>
        <w:tc>
          <w:tcPr>
            <w:tcW w:type="dxa" w:w="6747"/>
            <w:tcMar>
              <w:top w:type="dxa" w:w="60"/>
              <w:left w:type="dxa" w:w="100"/>
              <w:bottom w:type="dxa" w:w="60"/>
              <w:right w:type="dxa" w:w="100"/>
            </w:tcMar>
          </w:tcPr>
          <w:p>
            <w:pPr>
              <w:spacing w:after="40"/>
            </w:pPr>
            <w:r>
              <w:rPr>
                <w:sz w:val="19"/>
                <w:szCs w:val="19"/>
              </w:rPr>
              <w:t xml:space="preserve">À 5 minutes, la présentation s’arrête et les questions commencent.</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Questions</w:t>
            </w:r>
          </w:p>
        </w:tc>
        <w:tc>
          <w:tcPr>
            <w:tcW w:type="dxa" w:w="6747"/>
            <w:shd w:fill="E8EEF5" w:color="auto" w:val="clear"/>
            <w:tcMar>
              <w:top w:type="dxa" w:w="60"/>
              <w:left w:type="dxa" w:w="100"/>
              <w:bottom w:type="dxa" w:w="60"/>
              <w:right w:type="dxa" w:w="100"/>
            </w:tcMar>
          </w:tcPr>
          <w:p>
            <w:pPr>
              <w:spacing w:after="40"/>
            </w:pPr>
            <w:r>
              <w:rPr>
                <w:sz w:val="19"/>
                <w:szCs w:val="19"/>
              </w:rPr>
              <w:t xml:space="preserve">Deux questions, les mêmes pour tous : l’une porte sur votre arbitrage, l’autre sur la manière de répondre à un autre interlocuteur que la direction.</w:t>
            </w:r>
          </w:p>
        </w:tc>
      </w:tr>
    </w:tbl>
    <w:p>
      <w:pPr>
        <w:spacing w:after="120"/>
      </w:pPr>
    </w:p>
    <w:p>
      <w:pPr>
        <w:pStyle w:val="Heading1"/>
      </w:pPr>
      <w:r>
        <w:t xml:space="preserve">Le cas SELENE</w:t>
      </w:r>
    </w:p>
    <w:p>
      <w:pPr>
        <w:spacing w:after="120"/>
      </w:pPr>
      <w:r>
        <w:t xml:space="preserve">Cas fictif. Utilisez uniquement ces informations.</w:t>
      </w:r>
    </w:p>
    <w:p>
      <w:pPr>
        <w:spacing w:after="120"/>
      </w:pPr>
      <w:r>
        <w:t xml:space="preserve">SELENE utilise un portail pour l’assistance de ses clients professionnels. Parmi vingt comptes de support, douze sont partagés entre plusieurs personnes. L’identification individuelle des actions reste donc limitée. Un audit client important est prévu dans sept jours ouvrés. Aucun incident ni accès frauduleux n’est établi. Le fonctionnement courant doit être préservé.</w:t>
      </w:r>
    </w:p>
    <w:p>
      <w:pPr>
        <w:spacing w:after="120"/>
      </w:pPr>
      <w:r>
        <w:t xml:space="preserve">La direction peut autoriser jusqu’à 8 000 € de prestations externes et vingt heures de travail interne sur les deux prochaines semaines. L’équipe technique juge deux propositions réalisables. Les prix sont ceux de deux offres fictives.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Option A — comptes individuels</w:t>
            </w:r>
          </w:p>
        </w:tc>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Option B — contrôle temporaire</w:t>
            </w:r>
          </w:p>
        </w:tc>
      </w:tr>
      <w:tr>
        <w:tc>
          <w:tcPr>
            <w:tcW w:type="dxa" w:w="4819"/>
            <w:tcMar>
              <w:top w:type="dxa" w:w="60"/>
              <w:left w:type="dxa" w:w="100"/>
              <w:bottom w:type="dxa" w:w="60"/>
              <w:right w:type="dxa" w:w="100"/>
            </w:tcMar>
          </w:tcPr>
          <w:p>
            <w:pPr>
              <w:spacing w:after="40"/>
            </w:pPr>
            <w:r>
              <w:rPr>
                <w:sz w:val="19"/>
                <w:szCs w:val="19"/>
              </w:rPr>
              <w:t xml:space="preserve">Créer des comptes individuels et déployer une authentification renforcée pour tous les comptes de support.</w:t>
            </w:r>
          </w:p>
        </w:tc>
        <w:tc>
          <w:tcPr>
            <w:tcW w:type="dxa" w:w="4819"/>
            <w:tcMar>
              <w:top w:type="dxa" w:w="60"/>
              <w:left w:type="dxa" w:w="100"/>
              <w:bottom w:type="dxa" w:w="60"/>
              <w:right w:type="dxa" w:w="100"/>
            </w:tcMar>
          </w:tcPr>
          <w:p>
            <w:pPr>
              <w:spacing w:after="40"/>
            </w:pPr>
            <w:r>
              <w:rPr>
                <w:sz w:val="19"/>
                <w:szCs w:val="19"/>
              </w:rPr>
              <w:t xml:space="preserve">Restreindre les accès de support à des connexions supervisées et organiser une revue manuelle quotidienne.</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Coût externe : 8 000 €. Déploiement estimé : 10 jours ouvrés après accord. Charge interne : 6 h.</w:t>
            </w:r>
          </w:p>
        </w:tc>
        <w:tc>
          <w:tcPr>
            <w:tcW w:type="dxa" w:w="4819"/>
            <w:shd w:fill="E8EEF5" w:color="auto" w:val="clear"/>
            <w:tcMar>
              <w:top w:type="dxa" w:w="60"/>
              <w:left w:type="dxa" w:w="100"/>
              <w:bottom w:type="dxa" w:w="60"/>
              <w:right w:type="dxa" w:w="100"/>
            </w:tcMar>
          </w:tcPr>
          <w:p>
            <w:pPr>
              <w:spacing w:after="40"/>
            </w:pPr>
            <w:r>
              <w:rPr>
                <w:sz w:val="19"/>
                <w:szCs w:val="19"/>
              </w:rPr>
              <w:t xml:space="preserve">Coût externe : 5 000 €. Déploiement estimé : 3 jours ouvrés. Charge interne : 20 h sur les deux premières semaines.</w:t>
            </w:r>
          </w:p>
        </w:tc>
      </w:tr>
      <w:tr>
        <w:tc>
          <w:tcPr>
            <w:tcW w:type="dxa" w:w="4819"/>
            <w:tcMar>
              <w:top w:type="dxa" w:w="60"/>
              <w:left w:type="dxa" w:w="100"/>
              <w:bottom w:type="dxa" w:w="60"/>
              <w:right w:type="dxa" w:w="100"/>
            </w:tcMar>
          </w:tcPr>
          <w:p>
            <w:pPr>
              <w:spacing w:after="40"/>
            </w:pPr>
            <w:r>
              <w:rPr>
                <w:sz w:val="19"/>
                <w:szCs w:val="19"/>
              </w:rPr>
              <w:t xml:space="preserve">Interruption planifiée de 2 h ; créneau à confirmer. Les comptes partagés restent en place jusqu’au déploiement.</w:t>
            </w:r>
          </w:p>
        </w:tc>
        <w:tc>
          <w:tcPr>
            <w:tcW w:type="dxa" w:w="4819"/>
            <w:tcMar>
              <w:top w:type="dxa" w:w="60"/>
              <w:left w:type="dxa" w:w="100"/>
              <w:bottom w:type="dxa" w:w="60"/>
              <w:right w:type="dxa" w:w="100"/>
            </w:tcMar>
          </w:tcPr>
          <w:p>
            <w:pPr>
              <w:spacing w:after="40"/>
            </w:pPr>
            <w:r>
              <w:rPr>
                <w:sz w:val="19"/>
                <w:szCs w:val="19"/>
              </w:rPr>
              <w:t xml:space="preserve">Aucune interruption planifiée. Les comptes partagés restent en place ; l’identification individuelle reste limitée.</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Achèvement après la date prévue de l’audit.</w:t>
            </w:r>
          </w:p>
        </w:tc>
        <w:tc>
          <w:tcPr>
            <w:tcW w:type="dxa" w:w="4819"/>
            <w:shd w:fill="E8EEF5" w:color="auto" w:val="clear"/>
            <w:tcMar>
              <w:top w:type="dxa" w:w="60"/>
              <w:left w:type="dxa" w:w="100"/>
              <w:bottom w:type="dxa" w:w="60"/>
              <w:right w:type="dxa" w:w="100"/>
            </w:tcMar>
          </w:tcPr>
          <w:p>
            <w:pPr>
              <w:spacing w:after="40"/>
            </w:pPr>
            <w:r>
              <w:rPr>
                <w:sz w:val="19"/>
                <w:szCs w:val="19"/>
              </w:rPr>
              <w:t xml:space="preserve">Mesure temporaire en place avant l’audit, selon l’estimation ; coût de maintien après deux semaines non fourni.</w:t>
            </w:r>
          </w:p>
        </w:tc>
      </w:tr>
    </w:tbl>
    <w:p>
      <w:pPr>
        <w:spacing w:after="120"/>
      </w:pPr>
    </w:p>
    <w:p>
      <w:pPr>
        <w:spacing w:after="120"/>
      </w:pPr>
      <w:r>
        <w:t xml:space="preserve">Les offres sont indépendantes : choisir B puis commander A coûterait 13 000 € externes au total. Aucune option ne garantit la réussite de l’audit ni l’absence de tout risque. Le client n’a pas accepté de décaler l’audit. Aucun coût d’incident ou de temps interne n’est fourni.</w:t>
      </w:r>
    </w:p>
    <w:p>
      <w:pPr>
        <w:pBdr>
          <w:left w:val="single" w:color="E09A2B" w:sz="18" w:space="8"/>
        </w:pBdr>
        <w:shd w:fill="FFF4E0" w:color="auto" w:val="clear"/>
        <w:spacing w:after="160" w:before="120"/>
      </w:pPr>
      <w:r>
        <w:t xml:space="preserve">Votre rôle : conseiller la direction générale. Recommandez A ou B, demandez l’accord nécessaire, justifiez le compromis et proposez le prochain point de suivi. Toute mesure supplémentaire doit être présentée comme une proposition à faire valider.</w:t>
      </w:r>
    </w:p>
    <w:p>
      <w:pPr>
        <w:pStyle w:val="Heading1"/>
      </w:pPr>
      <w:r>
        <w:t xml:space="preserve">Une trame possible pour vos 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shd w:fill="1F3A5F" w:color="auto" w:val="clear"/>
            <w:tcMar>
              <w:top w:type="dxa" w:w="60"/>
              <w:left w:type="dxa" w:w="100"/>
              <w:bottom w:type="dxa" w:w="60"/>
              <w:right w:type="dxa" w:w="100"/>
            </w:tcMar>
          </w:tcPr>
          <w:p>
            <w:pPr>
              <w:spacing w:after="40"/>
            </w:pPr>
            <w:r>
              <w:rPr>
                <w:b/>
                <w:bCs/>
                <w:color w:val="FFFFFF"/>
                <w:sz w:val="19"/>
                <w:szCs w:val="19"/>
              </w:rPr>
              <w:t xml:space="preserve">Temps</w:t>
            </w:r>
          </w:p>
        </w:tc>
        <w:tc>
          <w:tcPr>
            <w:tcW w:type="dxa" w:w="7711"/>
            <w:shd w:fill="1F3A5F" w:color="auto" w:val="clear"/>
            <w:tcMar>
              <w:top w:type="dxa" w:w="60"/>
              <w:left w:type="dxa" w:w="100"/>
              <w:bottom w:type="dxa" w:w="60"/>
              <w:right w:type="dxa" w:w="100"/>
            </w:tcMar>
          </w:tcPr>
          <w:p>
            <w:pPr>
              <w:spacing w:after="40"/>
            </w:pPr>
            <w:r>
              <w:rPr>
                <w:b/>
                <w:bCs/>
                <w:color w:val="FFFFFF"/>
                <w:sz w:val="19"/>
                <w:szCs w:val="19"/>
              </w:rPr>
              <w:t xml:space="preserve">Contenu</w:t>
            </w:r>
          </w:p>
        </w:tc>
      </w:tr>
      <w:tr>
        <w:tc>
          <w:tcPr>
            <w:tcW w:type="dxa" w:w="1927"/>
            <w:tcMar>
              <w:top w:type="dxa" w:w="60"/>
              <w:left w:type="dxa" w:w="100"/>
              <w:bottom w:type="dxa" w:w="60"/>
              <w:right w:type="dxa" w:w="100"/>
            </w:tcMar>
          </w:tcPr>
          <w:p>
            <w:pPr>
              <w:spacing w:after="40"/>
            </w:pPr>
            <w:r>
              <w:rPr>
                <w:sz w:val="19"/>
                <w:szCs w:val="19"/>
              </w:rPr>
              <w:t xml:space="preserve">0:00–0:30</w:t>
            </w:r>
          </w:p>
        </w:tc>
        <w:tc>
          <w:tcPr>
            <w:tcW w:type="dxa" w:w="7711"/>
            <w:tcMar>
              <w:top w:type="dxa" w:w="60"/>
              <w:left w:type="dxa" w:w="100"/>
              <w:bottom w:type="dxa" w:w="60"/>
              <w:right w:type="dxa" w:w="100"/>
            </w:tcMar>
          </w:tcPr>
          <w:p>
            <w:pPr>
              <w:spacing w:after="40"/>
            </w:pPr>
            <w:r>
              <w:rPr>
                <w:sz w:val="19"/>
                <w:szCs w:val="19"/>
              </w:rPr>
              <w:t xml:space="preserve">Votre rôle et la décision demandée.</w:t>
            </w:r>
          </w:p>
        </w:tc>
      </w:tr>
      <w:tr>
        <w:tc>
          <w:tcPr>
            <w:tcW w:type="dxa" w:w="1927"/>
            <w:shd w:fill="E8EEF5" w:color="auto" w:val="clear"/>
            <w:tcMar>
              <w:top w:type="dxa" w:w="60"/>
              <w:left w:type="dxa" w:w="100"/>
              <w:bottom w:type="dxa" w:w="60"/>
              <w:right w:type="dxa" w:w="100"/>
            </w:tcMar>
          </w:tcPr>
          <w:p>
            <w:pPr>
              <w:spacing w:after="40"/>
            </w:pPr>
            <w:r>
              <w:rPr>
                <w:sz w:val="19"/>
                <w:szCs w:val="19"/>
              </w:rPr>
              <w:t xml:space="preserve">0:30–1:15</w:t>
            </w:r>
          </w:p>
        </w:tc>
        <w:tc>
          <w:tcPr>
            <w:tcW w:type="dxa" w:w="7711"/>
            <w:shd w:fill="E8EEF5" w:color="auto" w:val="clear"/>
            <w:tcMar>
              <w:top w:type="dxa" w:w="60"/>
              <w:left w:type="dxa" w:w="100"/>
              <w:bottom w:type="dxa" w:w="60"/>
              <w:right w:type="dxa" w:w="100"/>
            </w:tcMar>
          </w:tcPr>
          <w:p>
            <w:pPr>
              <w:spacing w:after="40"/>
            </w:pPr>
            <w:r>
              <w:rPr>
                <w:sz w:val="19"/>
                <w:szCs w:val="19"/>
              </w:rPr>
              <w:t xml:space="preserve">L’enjeu et les faits.</w:t>
            </w:r>
          </w:p>
        </w:tc>
      </w:tr>
      <w:tr>
        <w:tc>
          <w:tcPr>
            <w:tcW w:type="dxa" w:w="1927"/>
            <w:tcMar>
              <w:top w:type="dxa" w:w="60"/>
              <w:left w:type="dxa" w:w="100"/>
              <w:bottom w:type="dxa" w:w="60"/>
              <w:right w:type="dxa" w:w="100"/>
            </w:tcMar>
          </w:tcPr>
          <w:p>
            <w:pPr>
              <w:spacing w:after="40"/>
            </w:pPr>
            <w:r>
              <w:rPr>
                <w:sz w:val="19"/>
                <w:szCs w:val="19"/>
              </w:rPr>
              <w:t xml:space="preserve">1:15–2:45</w:t>
            </w:r>
          </w:p>
        </w:tc>
        <w:tc>
          <w:tcPr>
            <w:tcW w:type="dxa" w:w="7711"/>
            <w:tcMar>
              <w:top w:type="dxa" w:w="60"/>
              <w:left w:type="dxa" w:w="100"/>
              <w:bottom w:type="dxa" w:w="60"/>
              <w:right w:type="dxa" w:w="100"/>
            </w:tcMar>
          </w:tcPr>
          <w:p>
            <w:pPr>
              <w:spacing w:after="40"/>
            </w:pPr>
            <w:r>
              <w:rPr>
                <w:sz w:val="19"/>
                <w:szCs w:val="19"/>
              </w:rPr>
              <w:t xml:space="preserve">Les options et l’arbitrage.</w:t>
            </w:r>
          </w:p>
        </w:tc>
      </w:tr>
      <w:tr>
        <w:tc>
          <w:tcPr>
            <w:tcW w:type="dxa" w:w="1927"/>
            <w:shd w:fill="E8EEF5" w:color="auto" w:val="clear"/>
            <w:tcMar>
              <w:top w:type="dxa" w:w="60"/>
              <w:left w:type="dxa" w:w="100"/>
              <w:bottom w:type="dxa" w:w="60"/>
              <w:right w:type="dxa" w:w="100"/>
            </w:tcMar>
          </w:tcPr>
          <w:p>
            <w:pPr>
              <w:spacing w:after="40"/>
            </w:pPr>
            <w:r>
              <w:rPr>
                <w:sz w:val="19"/>
                <w:szCs w:val="19"/>
              </w:rPr>
              <w:t xml:space="preserve">2:45–4:15</w:t>
            </w:r>
          </w:p>
        </w:tc>
        <w:tc>
          <w:tcPr>
            <w:tcW w:type="dxa" w:w="7711"/>
            <w:shd w:fill="E8EEF5" w:color="auto" w:val="clear"/>
            <w:tcMar>
              <w:top w:type="dxa" w:w="60"/>
              <w:left w:type="dxa" w:w="100"/>
              <w:bottom w:type="dxa" w:w="60"/>
              <w:right w:type="dxa" w:w="100"/>
            </w:tcMar>
          </w:tcPr>
          <w:p>
            <w:pPr>
              <w:spacing w:after="40"/>
            </w:pPr>
            <w:r>
              <w:rPr>
                <w:sz w:val="19"/>
                <w:szCs w:val="19"/>
              </w:rPr>
              <w:t xml:space="preserve">Votre recommandation, les moyens et les limites.</w:t>
            </w:r>
          </w:p>
        </w:tc>
      </w:tr>
      <w:tr>
        <w:tc>
          <w:tcPr>
            <w:tcW w:type="dxa" w:w="1927"/>
            <w:tcMar>
              <w:top w:type="dxa" w:w="60"/>
              <w:left w:type="dxa" w:w="100"/>
              <w:bottom w:type="dxa" w:w="60"/>
              <w:right w:type="dxa" w:w="100"/>
            </w:tcMar>
          </w:tcPr>
          <w:p>
            <w:pPr>
              <w:spacing w:after="40"/>
            </w:pPr>
            <w:r>
              <w:rPr>
                <w:sz w:val="19"/>
                <w:szCs w:val="19"/>
              </w:rPr>
              <w:t xml:space="preserve">4:15–5:00</w:t>
            </w:r>
          </w:p>
        </w:tc>
        <w:tc>
          <w:tcPr>
            <w:tcW w:type="dxa" w:w="7711"/>
            <w:tcMar>
              <w:top w:type="dxa" w:w="60"/>
              <w:left w:type="dxa" w:w="100"/>
              <w:bottom w:type="dxa" w:w="60"/>
              <w:right w:type="dxa" w:w="100"/>
            </w:tcMar>
          </w:tcPr>
          <w:p>
            <w:pPr>
              <w:spacing w:after="40"/>
            </w:pPr>
            <w:r>
              <w:rPr>
                <w:sz w:val="19"/>
                <w:szCs w:val="19"/>
              </w:rPr>
              <w:t xml:space="preserve">La mise en œuvre proposée, le prochain point et le rappel de la décision.</w:t>
            </w:r>
          </w:p>
        </w:tc>
      </w:tr>
    </w:tbl>
    <w:p>
      <w:pPr>
        <w:spacing w:after="120"/>
      </w:pPr>
    </w:p>
    <w:p>
      <w:pPr>
        <w:pStyle w:val="Heading1"/>
      </w:pPr>
      <w:r>
        <w:t xml:space="preserve">Les critères de notation (sur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963"/>
        <w:gridCol w:w="3856"/>
      </w:tblGrid>
      <w:tr>
        <w:trPr>
          <w:tblHeader/>
        </w:trPr>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Critère</w:t>
            </w:r>
          </w:p>
        </w:tc>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Points</w:t>
            </w:r>
          </w:p>
        </w:tc>
        <w:tc>
          <w:tcPr>
            <w:tcW w:type="dxa" w:w="3856"/>
            <w:shd w:fill="1F3A5F" w:color="auto" w:val="clear"/>
            <w:tcMar>
              <w:top w:type="dxa" w:w="60"/>
              <w:left w:type="dxa" w:w="100"/>
              <w:bottom w:type="dxa" w:w="60"/>
              <w:right w:type="dxa" w:w="100"/>
            </w:tcMar>
          </w:tcPr>
          <w:p>
            <w:pPr>
              <w:spacing w:after="40"/>
            </w:pPr>
            <w:r>
              <w:rPr>
                <w:b/>
                <w:bCs/>
                <w:color w:val="FFFFFF"/>
                <w:sz w:val="19"/>
                <w:szCs w:val="19"/>
              </w:rPr>
              <w:t xml:space="preserve">Ce qui est attendu</w:t>
            </w:r>
          </w:p>
        </w:tc>
      </w:tr>
      <w:tr>
        <w:tc>
          <w:tcPr>
            <w:tcW w:type="dxa" w:w="4819"/>
            <w:tcMar>
              <w:top w:type="dxa" w:w="60"/>
              <w:left w:type="dxa" w:w="100"/>
              <w:bottom w:type="dxa" w:w="60"/>
              <w:right w:type="dxa" w:w="100"/>
            </w:tcMar>
          </w:tcPr>
          <w:p>
            <w:pPr>
              <w:spacing w:after="40"/>
            </w:pPr>
            <w:r>
              <w:rPr>
                <w:sz w:val="19"/>
                <w:szCs w:val="19"/>
              </w:rPr>
              <w:t xml:space="preserve">Décision et positionnement</w:t>
            </w:r>
          </w:p>
        </w:tc>
        <w:tc>
          <w:tcPr>
            <w:tcW w:type="dxa" w:w="963"/>
            <w:tcMar>
              <w:top w:type="dxa" w:w="60"/>
              <w:left w:type="dxa" w:w="100"/>
              <w:bottom w:type="dxa" w:w="60"/>
              <w:right w:type="dxa" w:w="100"/>
            </w:tcMar>
          </w:tcPr>
          <w:p>
            <w:pPr>
              <w:spacing w:after="40"/>
            </w:pPr>
            <w:r>
              <w:rPr>
                <w:sz w:val="19"/>
                <w:szCs w:val="19"/>
              </w:rPr>
              <w:t xml:space="preserve">4</w:t>
            </w:r>
          </w:p>
        </w:tc>
        <w:tc>
          <w:tcPr>
            <w:tcW w:type="dxa" w:w="3856"/>
            <w:tcMar>
              <w:top w:type="dxa" w:w="60"/>
              <w:left w:type="dxa" w:w="100"/>
              <w:bottom w:type="dxa" w:w="60"/>
              <w:right w:type="dxa" w:w="100"/>
            </w:tcMar>
          </w:tcPr>
          <w:p>
            <w:pPr>
              <w:spacing w:after="40"/>
            </w:pPr>
            <w:r>
              <w:rPr>
                <w:sz w:val="19"/>
                <w:szCs w:val="19"/>
              </w:rPr>
              <w:t xml:space="preserve">Votre rôle et l’accord demandé sont explicites ; la recommandation arrive tôt et est rappelée.</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Arbitrage et impact métier</w:t>
            </w:r>
          </w:p>
        </w:tc>
        <w:tc>
          <w:tcPr>
            <w:tcW w:type="dxa" w:w="963"/>
            <w:shd w:fill="E8EEF5" w:color="auto" w:val="clear"/>
            <w:tcMar>
              <w:top w:type="dxa" w:w="60"/>
              <w:left w:type="dxa" w:w="100"/>
              <w:bottom w:type="dxa" w:w="60"/>
              <w:right w:type="dxa" w:w="100"/>
            </w:tcMar>
          </w:tcPr>
          <w:p>
            <w:pPr>
              <w:spacing w:after="40"/>
            </w:pPr>
            <w:r>
              <w:rPr>
                <w:sz w:val="19"/>
                <w:szCs w:val="19"/>
              </w:rPr>
              <w:t xml:space="preserve">4</w:t>
            </w:r>
          </w:p>
        </w:tc>
        <w:tc>
          <w:tcPr>
            <w:tcW w:type="dxa" w:w="3856"/>
            <w:shd w:fill="E8EEF5" w:color="auto" w:val="clear"/>
            <w:tcMar>
              <w:top w:type="dxa" w:w="60"/>
              <w:left w:type="dxa" w:w="100"/>
              <w:bottom w:type="dxa" w:w="60"/>
              <w:right w:type="dxa" w:w="100"/>
            </w:tcMar>
          </w:tcPr>
          <w:p>
            <w:pPr>
              <w:spacing w:after="40"/>
            </w:pPr>
            <w:r>
              <w:rPr>
                <w:sz w:val="19"/>
                <w:szCs w:val="19"/>
              </w:rPr>
              <w:t xml:space="preserve">Arguments liés à l’audit et à l’activité ; moyens et compromis comparés.</w:t>
            </w:r>
          </w:p>
        </w:tc>
      </w:tr>
      <w:tr>
        <w:tc>
          <w:tcPr>
            <w:tcW w:type="dxa" w:w="4819"/>
            <w:tcMar>
              <w:top w:type="dxa" w:w="60"/>
              <w:left w:type="dxa" w:w="100"/>
              <w:bottom w:type="dxa" w:w="60"/>
              <w:right w:type="dxa" w:w="100"/>
            </w:tcMar>
          </w:tcPr>
          <w:p>
            <w:pPr>
              <w:spacing w:after="40"/>
            </w:pPr>
            <w:r>
              <w:rPr>
                <w:sz w:val="19"/>
                <w:szCs w:val="19"/>
              </w:rPr>
              <w:t xml:space="preserve">Fiabilité</w:t>
            </w:r>
          </w:p>
        </w:tc>
        <w:tc>
          <w:tcPr>
            <w:tcW w:type="dxa" w:w="963"/>
            <w:tcMar>
              <w:top w:type="dxa" w:w="60"/>
              <w:left w:type="dxa" w:w="100"/>
              <w:bottom w:type="dxa" w:w="60"/>
              <w:right w:type="dxa" w:w="100"/>
            </w:tcMar>
          </w:tcPr>
          <w:p>
            <w:pPr>
              <w:spacing w:after="40"/>
            </w:pPr>
            <w:r>
              <w:rPr>
                <w:sz w:val="19"/>
                <w:szCs w:val="19"/>
              </w:rPr>
              <w:t xml:space="preserve">3</w:t>
            </w:r>
          </w:p>
        </w:tc>
        <w:tc>
          <w:tcPr>
            <w:tcW w:type="dxa" w:w="3856"/>
            <w:tcMar>
              <w:top w:type="dxa" w:w="60"/>
              <w:left w:type="dxa" w:w="100"/>
              <w:bottom w:type="dxa" w:w="60"/>
              <w:right w:type="dxa" w:w="100"/>
            </w:tcMar>
          </w:tcPr>
          <w:p>
            <w:pPr>
              <w:spacing w:after="40"/>
            </w:pPr>
            <w:r>
              <w:rPr>
                <w:sz w:val="19"/>
                <w:szCs w:val="19"/>
              </w:rPr>
              <w:t xml:space="preserve">Chiffres, délais, contraintes et limites exacts ; aucune promesse inventée.</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Structure et visuel</w:t>
            </w:r>
          </w:p>
        </w:tc>
        <w:tc>
          <w:tcPr>
            <w:tcW w:type="dxa" w:w="963"/>
            <w:shd w:fill="E8EEF5" w:color="auto" w:val="clear"/>
            <w:tcMar>
              <w:top w:type="dxa" w:w="60"/>
              <w:left w:type="dxa" w:w="100"/>
              <w:bottom w:type="dxa" w:w="60"/>
              <w:right w:type="dxa" w:w="100"/>
            </w:tcMar>
          </w:tcPr>
          <w:p>
            <w:pPr>
              <w:spacing w:after="40"/>
            </w:pPr>
            <w:r>
              <w:rPr>
                <w:sz w:val="19"/>
                <w:szCs w:val="19"/>
              </w:rPr>
              <w:t xml:space="preserve">3</w:t>
            </w:r>
          </w:p>
        </w:tc>
        <w:tc>
          <w:tcPr>
            <w:tcW w:type="dxa" w:w="3856"/>
            <w:shd w:fill="E8EEF5" w:color="auto" w:val="clear"/>
            <w:tcMar>
              <w:top w:type="dxa" w:w="60"/>
              <w:left w:type="dxa" w:w="100"/>
              <w:bottom w:type="dxa" w:w="60"/>
              <w:right w:type="dxa" w:w="100"/>
            </w:tcMar>
          </w:tcPr>
          <w:p>
            <w:pPr>
              <w:spacing w:after="40"/>
            </w:pPr>
            <w:r>
              <w:rPr>
                <w:sz w:val="19"/>
                <w:szCs w:val="19"/>
              </w:rPr>
              <w:t xml:space="preserve">Un cheminement facile à suivre ; un visuel exact et utile.</w:t>
            </w:r>
          </w:p>
        </w:tc>
      </w:tr>
      <w:tr>
        <w:tc>
          <w:tcPr>
            <w:tcW w:type="dxa" w:w="4819"/>
            <w:tcMar>
              <w:top w:type="dxa" w:w="60"/>
              <w:left w:type="dxa" w:w="100"/>
              <w:bottom w:type="dxa" w:w="60"/>
              <w:right w:type="dxa" w:w="100"/>
            </w:tcMar>
          </w:tcPr>
          <w:p>
            <w:pPr>
              <w:spacing w:after="40"/>
            </w:pPr>
            <w:r>
              <w:rPr>
                <w:sz w:val="19"/>
                <w:szCs w:val="19"/>
              </w:rPr>
              <w:t xml:space="preserve">Expression et temps</w:t>
            </w:r>
          </w:p>
        </w:tc>
        <w:tc>
          <w:tcPr>
            <w:tcW w:type="dxa" w:w="963"/>
            <w:tcMar>
              <w:top w:type="dxa" w:w="60"/>
              <w:left w:type="dxa" w:w="100"/>
              <w:bottom w:type="dxa" w:w="60"/>
              <w:right w:type="dxa" w:w="100"/>
            </w:tcMar>
          </w:tcPr>
          <w:p>
            <w:pPr>
              <w:spacing w:after="40"/>
            </w:pPr>
            <w:r>
              <w:rPr>
                <w:sz w:val="19"/>
                <w:szCs w:val="19"/>
              </w:rPr>
              <w:t xml:space="preserve">2</w:t>
            </w:r>
          </w:p>
        </w:tc>
        <w:tc>
          <w:tcPr>
            <w:tcW w:type="dxa" w:w="3856"/>
            <w:tcMar>
              <w:top w:type="dxa" w:w="60"/>
              <w:left w:type="dxa" w:w="100"/>
              <w:bottom w:type="dxa" w:w="60"/>
              <w:right w:type="dxa" w:w="100"/>
            </w:tcMar>
          </w:tcPr>
          <w:p>
            <w:pPr>
              <w:spacing w:after="40"/>
            </w:pPr>
            <w:r>
              <w:rPr>
                <w:sz w:val="19"/>
                <w:szCs w:val="19"/>
              </w:rPr>
              <w:t xml:space="preserve">Message audible et compréhensible ; 5 minutes respectées.</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Écoute et réponses</w:t>
            </w:r>
          </w:p>
        </w:tc>
        <w:tc>
          <w:tcPr>
            <w:tcW w:type="dxa" w:w="963"/>
            <w:shd w:fill="E8EEF5" w:color="auto" w:val="clear"/>
            <w:tcMar>
              <w:top w:type="dxa" w:w="60"/>
              <w:left w:type="dxa" w:w="100"/>
              <w:bottom w:type="dxa" w:w="60"/>
              <w:right w:type="dxa" w:w="100"/>
            </w:tcMar>
          </w:tcPr>
          <w:p>
            <w:pPr>
              <w:spacing w:after="40"/>
            </w:pPr>
            <w:r>
              <w:rPr>
                <w:sz w:val="19"/>
                <w:szCs w:val="19"/>
              </w:rPr>
              <w:t xml:space="preserve">4</w:t>
            </w:r>
          </w:p>
        </w:tc>
        <w:tc>
          <w:tcPr>
            <w:tcW w:type="dxa" w:w="3856"/>
            <w:shd w:fill="E8EEF5" w:color="auto" w:val="clear"/>
            <w:tcMar>
              <w:top w:type="dxa" w:w="60"/>
              <w:left w:type="dxa" w:w="100"/>
              <w:bottom w:type="dxa" w:w="60"/>
              <w:right w:type="dxa" w:w="100"/>
            </w:tcMar>
          </w:tcPr>
          <w:p>
            <w:pPr>
              <w:spacing w:after="40"/>
            </w:pPr>
            <w:r>
              <w:rPr>
                <w:sz w:val="19"/>
                <w:szCs w:val="19"/>
              </w:rPr>
              <w:t xml:space="preserve">Les deux questions sont traitées directement ; réponses adaptées à l’interlocuteur ; limites reconnues.</w:t>
            </w:r>
          </w:p>
        </w:tc>
      </w:tr>
    </w:tbl>
    <w:p>
      <w:pPr>
        <w:spacing w:after="120"/>
      </w:pPr>
    </w:p>
    <w:p>
      <w:pPr>
        <w:spacing w:after="120"/>
      </w:pPr>
      <w:r>
        <w:t xml:space="preserve">Ne sont notés ni l’accent, ni l’aisance naturelle, ni un regard soutenu. Les hésitations ne comptent que si elles empêchent de comprendre ou de tenir le temps. A ou B : les deux choix peuvent obtenir la note maximale s’ils sont bien défendus.</w:t>
      </w:r>
    </w:p>
    <w:p>
      <w:pPr>
        <w:pStyle w:val="Heading1"/>
      </w:pPr>
      <w:r>
        <w:t xml:space="preserve">Pour vous entraîner</w:t>
      </w:r>
    </w:p>
    <w:p>
      <w:pPr>
        <w:pStyle w:val="ListParagraph"/>
        <w:numPr>
          <w:ilvl w:val="0"/>
          <w:numId w:val="2"/>
        </w:numPr>
        <w:spacing w:after="60"/>
      </w:pPr>
      <w:r>
        <w:t xml:space="preserve">Dites votre demande en une phrase à quelqu’un qui ne connaît pas le dossier : peut-il la reformuler ?</w:t>
      </w:r>
    </w:p>
    <w:p>
      <w:pPr>
        <w:pStyle w:val="ListParagraph"/>
        <w:numPr>
          <w:ilvl w:val="0"/>
          <w:numId w:val="2"/>
        </w:numPr>
        <w:spacing w:after="60"/>
      </w:pPr>
      <w:r>
        <w:t xml:space="preserve">Chronométrez-vous deux fois. Gardez une marge de 15 secondes.</w:t>
      </w:r>
    </w:p>
    <w:p>
      <w:pPr>
        <w:pStyle w:val="ListParagraph"/>
        <w:numPr>
          <w:ilvl w:val="0"/>
          <w:numId w:val="2"/>
        </w:numPr>
        <w:spacing w:after="60"/>
      </w:pPr>
      <w:r>
        <w:t xml:space="preserve">Préparez la réponse à « Pourquoi pas l’autre option ? ».</w:t>
      </w:r>
    </w:p>
    <w:p>
      <w:pPr>
        <w:pStyle w:val="ListParagraph"/>
        <w:numPr>
          <w:ilvl w:val="0"/>
          <w:numId w:val="2"/>
        </w:numPr>
        <w:spacing w:after="60"/>
      </w:pPr>
      <w:r>
        <w:t xml:space="preserve">Vérifiez chaque chiffre de votre support avec le cas.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FORMATION &amp; CONSEIL | Nizam BOURHANI · COEXCL · Préparer le pitch du 22 janvier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40"/>
      <w:outlineLvl w:val="1"/>
    </w:pPr>
    <w:rPr>
      <w:b/>
      <w:bCs/>
      <w:color w:val="1F3A5F"/>
      <w:sz w:val="25"/>
      <w:szCs w:val="25"/>
    </w:rPr>
  </w:style>
  <w:style w:type="paragraph" w:styleId="Heading3">
    <w:name w:val="Heading 3"/>
    <w:basedOn w:val="Normal"/>
    <w:next w:val="Normal"/>
    <w:qFormat/>
    <w:pPr>
      <w:spacing w:after="8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Préparer le pitch du 22 janvier</dc:title>
  <dc:creator>Nizam BOURHANI</dc:creator>
  <cp:lastModifiedBy>Un-named</cp:lastModifiedBy>
  <cp:revision>1</cp:revision>
  <dcterms:created xsi:type="dcterms:W3CDTF">2026-10-06T18:11:03.878Z</dcterms:created>
  <dcterms:modified xsi:type="dcterms:W3CDTF">2026-10-06T18:11:03.878Z</dcterms:modified>
</cp:coreProperties>
</file>

<file path=docProps/custom.xml><?xml version="1.0" encoding="utf-8"?>
<Properties xmlns="http://schemas.openxmlformats.org/officeDocument/2006/custom-properties" xmlns:vt="http://schemas.openxmlformats.org/officeDocument/2006/docPropsVTypes"/>
</file>