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Guide formateur — 6 novembre 2026</w:t>
      </w:r>
    </w:p>
    <w:p>
      <w:pPr>
        <w:spacing w:after="120"/>
      </w:pPr>
      <w:r>
        <w:rPr>
          <w:color w:val="444444"/>
          <w:sz w:val="24"/>
          <w:szCs w:val="24"/>
        </w:rPr>
        <w:t xml:space="preserve">Ateliers B1 à B6 (cas ORION), conduite de l’écrit NEREIS, corrigés</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 2 ECTS · Intervenant : BOURHANI Aboubakar Nizam</w:t>
      </w:r>
    </w:p>
    <w:p>
      <w:pPr>
        <w:shd w:fill="FDE2E2" w:color="auto" w:val="clear"/>
        <w:spacing w:after="200"/>
      </w:pPr>
      <w:r>
        <w:rPr>
          <w:b/>
          <w:bCs/>
          <w:sz w:val="19"/>
          <w:szCs w:val="19"/>
        </w:rPr>
        <w:t xml:space="preserve">RÉSERVÉ FORMATEUR ET REVUE PÉDAGOGIQUE — ne pas diffuser aux étudiants</w:t>
      </w:r>
    </w:p>
    <w:p>
      <w:pPr>
        <w:pStyle w:val="Heading1"/>
      </w:pPr>
      <w:r>
        <w:t xml:space="preserve">Conducteur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3"/>
        <w:gridCol w:w="4433"/>
        <w:gridCol w:w="2700"/>
      </w:tblGrid>
      <w:tr>
        <w:trPr>
          <w:tblHeader/>
        </w:trPr>
        <w:tc>
          <w:tcPr>
            <w:tcW w:type="dxa" w:w="1542"/>
            <w:shd w:fill="1F3A5F" w:color="auto" w:val="clear"/>
            <w:tcMar>
              <w:top w:type="dxa" w:w="60"/>
              <w:left w:type="dxa" w:w="100"/>
              <w:bottom w:type="dxa" w:w="60"/>
              <w:right w:type="dxa" w:w="100"/>
            </w:tcMar>
          </w:tcPr>
          <w:p>
            <w:pPr>
              <w:spacing w:after="40"/>
            </w:pPr>
            <w:r>
              <w:rPr>
                <w:b/>
                <w:bCs/>
                <w:color w:val="FFFFFF"/>
                <w:sz w:val="19"/>
                <w:szCs w:val="19"/>
              </w:rPr>
              <w:t xml:space="preserve">Horaire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Durée</w:t>
            </w:r>
          </w:p>
        </w:tc>
        <w:tc>
          <w:tcPr>
            <w:tcW w:type="dxa" w:w="4433"/>
            <w:shd w:fill="1F3A5F" w:color="auto" w:val="clear"/>
            <w:tcMar>
              <w:top w:type="dxa" w:w="60"/>
              <w:left w:type="dxa" w:w="100"/>
              <w:bottom w:type="dxa" w:w="60"/>
              <w:right w:type="dxa" w:w="100"/>
            </w:tcMar>
          </w:tcPr>
          <w:p>
            <w:pPr>
              <w:spacing w:after="40"/>
            </w:pPr>
            <w:r>
              <w:rPr>
                <w:b/>
                <w:bCs/>
                <w:color w:val="FFFFFF"/>
                <w:sz w:val="19"/>
                <w:szCs w:val="19"/>
              </w:rPr>
              <w:t xml:space="preserve">Séquence</w:t>
            </w:r>
          </w:p>
        </w:tc>
        <w:tc>
          <w:tcPr>
            <w:tcW w:type="dxa" w:w="2700"/>
            <w:shd w:fill="1F3A5F" w:color="auto" w:val="clear"/>
            <w:tcMar>
              <w:top w:type="dxa" w:w="60"/>
              <w:left w:type="dxa" w:w="100"/>
              <w:bottom w:type="dxa" w:w="60"/>
              <w:right w:type="dxa" w:w="100"/>
            </w:tcMar>
          </w:tcPr>
          <w:p>
            <w:pPr>
              <w:spacing w:after="40"/>
            </w:pPr>
            <w:r>
              <w:rPr>
                <w:b/>
                <w:bCs/>
                <w:color w:val="FFFFFF"/>
                <w:sz w:val="19"/>
                <w:szCs w:val="19"/>
              </w:rPr>
              <w:t xml:space="preserve">Production</w:t>
            </w:r>
          </w:p>
        </w:tc>
      </w:tr>
      <w:tr>
        <w:tc>
          <w:tcPr>
            <w:tcW w:type="dxa" w:w="1542"/>
            <w:tcMar>
              <w:top w:type="dxa" w:w="60"/>
              <w:left w:type="dxa" w:w="100"/>
              <w:bottom w:type="dxa" w:w="60"/>
              <w:right w:type="dxa" w:w="100"/>
            </w:tcMar>
          </w:tcPr>
          <w:p>
            <w:pPr>
              <w:spacing w:after="40"/>
            </w:pPr>
            <w:r>
              <w:rPr>
                <w:sz w:val="19"/>
                <w:szCs w:val="19"/>
              </w:rPr>
              <w:t xml:space="preserve">09:00–09:25</w:t>
            </w:r>
          </w:p>
        </w:tc>
        <w:tc>
          <w:tcPr>
            <w:tcW w:type="dxa" w:w="963"/>
            <w:tcMar>
              <w:top w:type="dxa" w:w="60"/>
              <w:left w:type="dxa" w:w="100"/>
              <w:bottom w:type="dxa" w:w="60"/>
              <w:right w:type="dxa" w:w="100"/>
            </w:tcMar>
          </w:tcPr>
          <w:p>
            <w:pPr>
              <w:spacing w:after="40"/>
            </w:pPr>
            <w:r>
              <w:rPr>
                <w:sz w:val="19"/>
                <w:szCs w:val="19"/>
              </w:rPr>
              <w:t xml:space="preserve">25</w:t>
            </w:r>
          </w:p>
        </w:tc>
        <w:tc>
          <w:tcPr>
            <w:tcW w:type="dxa" w:w="4433"/>
            <w:tcMar>
              <w:top w:type="dxa" w:w="60"/>
              <w:left w:type="dxa" w:w="100"/>
              <w:bottom w:type="dxa" w:w="60"/>
              <w:right w:type="dxa" w:w="100"/>
            </w:tcMar>
          </w:tcPr>
          <w:p>
            <w:pPr>
              <w:spacing w:after="40"/>
            </w:pPr>
            <w:r>
              <w:rPr>
                <w:sz w:val="19"/>
                <w:szCs w:val="19"/>
              </w:rPr>
              <w:t xml:space="preserve">B1 — Récit utile à la décision</w:t>
            </w:r>
          </w:p>
        </w:tc>
        <w:tc>
          <w:tcPr>
            <w:tcW w:type="dxa" w:w="2700"/>
            <w:tcMar>
              <w:top w:type="dxa" w:w="60"/>
              <w:left w:type="dxa" w:w="100"/>
              <w:bottom w:type="dxa" w:w="60"/>
              <w:right w:type="dxa" w:w="100"/>
            </w:tcMar>
          </w:tcPr>
          <w:p>
            <w:pPr>
              <w:spacing w:after="40"/>
            </w:pPr>
            <w:r>
              <w:rPr>
                <w:sz w:val="19"/>
                <w:szCs w:val="19"/>
              </w:rPr>
              <w:t xml:space="preserve">Rôle + demande</w:t>
            </w:r>
          </w:p>
        </w:tc>
      </w:tr>
      <w:tr>
        <w:tc>
          <w:tcPr>
            <w:tcW w:type="dxa" w:w="1542"/>
            <w:shd w:fill="E8EEF5" w:color="auto" w:val="clear"/>
            <w:tcMar>
              <w:top w:type="dxa" w:w="60"/>
              <w:left w:type="dxa" w:w="100"/>
              <w:bottom w:type="dxa" w:w="60"/>
              <w:right w:type="dxa" w:w="100"/>
            </w:tcMar>
          </w:tcPr>
          <w:p>
            <w:pPr>
              <w:spacing w:after="40"/>
            </w:pPr>
            <w:r>
              <w:rPr>
                <w:sz w:val="19"/>
                <w:szCs w:val="19"/>
              </w:rPr>
              <w:t xml:space="preserve">09:25–10:25</w:t>
            </w:r>
          </w:p>
        </w:tc>
        <w:tc>
          <w:tcPr>
            <w:tcW w:type="dxa" w:w="963"/>
            <w:shd w:fill="E8EEF5" w:color="auto" w:val="clear"/>
            <w:tcMar>
              <w:top w:type="dxa" w:w="60"/>
              <w:left w:type="dxa" w:w="100"/>
              <w:bottom w:type="dxa" w:w="60"/>
              <w:right w:type="dxa" w:w="100"/>
            </w:tcMar>
          </w:tcPr>
          <w:p>
            <w:pPr>
              <w:spacing w:after="40"/>
            </w:pPr>
            <w:r>
              <w:rPr>
                <w:sz w:val="19"/>
                <w:szCs w:val="19"/>
              </w:rPr>
              <w:t xml:space="preserve">60</w:t>
            </w:r>
          </w:p>
        </w:tc>
        <w:tc>
          <w:tcPr>
            <w:tcW w:type="dxa" w:w="4433"/>
            <w:shd w:fill="E8EEF5" w:color="auto" w:val="clear"/>
            <w:tcMar>
              <w:top w:type="dxa" w:w="60"/>
              <w:left w:type="dxa" w:w="100"/>
              <w:bottom w:type="dxa" w:w="60"/>
              <w:right w:type="dxa" w:w="100"/>
            </w:tcMar>
          </w:tcPr>
          <w:p>
            <w:pPr>
              <w:spacing w:after="40"/>
            </w:pPr>
            <w:r>
              <w:rPr>
                <w:sz w:val="19"/>
                <w:szCs w:val="19"/>
              </w:rPr>
              <w:t xml:space="preserve">B2 — Comparer les options ORION</w:t>
            </w:r>
          </w:p>
        </w:tc>
        <w:tc>
          <w:tcPr>
            <w:tcW w:type="dxa" w:w="2700"/>
            <w:shd w:fill="E8EEF5" w:color="auto" w:val="clear"/>
            <w:tcMar>
              <w:top w:type="dxa" w:w="60"/>
              <w:left w:type="dxa" w:w="100"/>
              <w:bottom w:type="dxa" w:w="60"/>
              <w:right w:type="dxa" w:w="100"/>
            </w:tcMar>
          </w:tcPr>
          <w:p>
            <w:pPr>
              <w:spacing w:after="40"/>
            </w:pPr>
            <w:r>
              <w:rPr>
                <w:sz w:val="19"/>
                <w:szCs w:val="19"/>
              </w:rPr>
              <w:t xml:space="preserve">Tableau et recommandation</w:t>
            </w:r>
          </w:p>
        </w:tc>
      </w:tr>
      <w:tr>
        <w:tc>
          <w:tcPr>
            <w:tcW w:type="dxa" w:w="1542"/>
            <w:tcMar>
              <w:top w:type="dxa" w:w="60"/>
              <w:left w:type="dxa" w:w="100"/>
              <w:bottom w:type="dxa" w:w="60"/>
              <w:right w:type="dxa" w:w="100"/>
            </w:tcMar>
          </w:tcPr>
          <w:p>
            <w:pPr>
              <w:spacing w:after="40"/>
            </w:pPr>
            <w:r>
              <w:rPr>
                <w:sz w:val="19"/>
                <w:szCs w:val="19"/>
              </w:rPr>
              <w:t xml:space="preserve">10:25–10:40</w:t>
            </w:r>
          </w:p>
        </w:tc>
        <w:tc>
          <w:tcPr>
            <w:tcW w:type="dxa" w:w="963"/>
            <w:tcMar>
              <w:top w:type="dxa" w:w="60"/>
              <w:left w:type="dxa" w:w="100"/>
              <w:bottom w:type="dxa" w:w="60"/>
              <w:right w:type="dxa" w:w="100"/>
            </w:tcMar>
          </w:tcPr>
          <w:p>
            <w:pPr>
              <w:spacing w:after="40"/>
            </w:pPr>
            <w:r>
              <w:rPr>
                <w:sz w:val="19"/>
                <w:szCs w:val="19"/>
              </w:rPr>
              <w:t xml:space="preserve">15</w:t>
            </w:r>
          </w:p>
        </w:tc>
        <w:tc>
          <w:tcPr>
            <w:tcW w:type="dxa" w:w="4433"/>
            <w:tcMar>
              <w:top w:type="dxa" w:w="60"/>
              <w:left w:type="dxa" w:w="100"/>
              <w:bottom w:type="dxa" w:w="60"/>
              <w:right w:type="dxa" w:w="100"/>
            </w:tcMar>
          </w:tcPr>
          <w:p>
            <w:pPr>
              <w:spacing w:after="40"/>
            </w:pPr>
            <w:r>
              <w:rPr>
                <w:sz w:val="19"/>
                <w:szCs w:val="19"/>
              </w:rPr>
              <w:t xml:space="preserve">Pause</w:t>
            </w:r>
          </w:p>
        </w:tc>
        <w:tc>
          <w:tcPr>
            <w:tcW w:type="dxa" w:w="2700"/>
            <w:tcMar>
              <w:top w:type="dxa" w:w="60"/>
              <w:left w:type="dxa" w:w="100"/>
              <w:bottom w:type="dxa" w:w="60"/>
              <w:right w:type="dxa" w:w="100"/>
            </w:tcMar>
          </w:tcPr>
          <w:p>
            <w:pPr>
              <w:spacing w:after="40"/>
            </w:pPr>
          </w:p>
        </w:tc>
      </w:tr>
      <w:tr>
        <w:tc>
          <w:tcPr>
            <w:tcW w:type="dxa" w:w="1542"/>
            <w:shd w:fill="E8EEF5" w:color="auto" w:val="clear"/>
            <w:tcMar>
              <w:top w:type="dxa" w:w="60"/>
              <w:left w:type="dxa" w:w="100"/>
              <w:bottom w:type="dxa" w:w="60"/>
              <w:right w:type="dxa" w:w="100"/>
            </w:tcMar>
          </w:tcPr>
          <w:p>
            <w:pPr>
              <w:spacing w:after="40"/>
            </w:pPr>
            <w:r>
              <w:rPr>
                <w:sz w:val="19"/>
                <w:szCs w:val="19"/>
              </w:rPr>
              <w:t xml:space="preserve">10:40–11:25</w:t>
            </w:r>
          </w:p>
        </w:tc>
        <w:tc>
          <w:tcPr>
            <w:tcW w:type="dxa" w:w="963"/>
            <w:shd w:fill="E8EEF5" w:color="auto" w:val="clear"/>
            <w:tcMar>
              <w:top w:type="dxa" w:w="60"/>
              <w:left w:type="dxa" w:w="100"/>
              <w:bottom w:type="dxa" w:w="60"/>
              <w:right w:type="dxa" w:w="100"/>
            </w:tcMar>
          </w:tcPr>
          <w:p>
            <w:pPr>
              <w:spacing w:after="40"/>
            </w:pPr>
            <w:r>
              <w:rPr>
                <w:sz w:val="19"/>
                <w:szCs w:val="19"/>
              </w:rPr>
              <w:t xml:space="preserve">45</w:t>
            </w:r>
          </w:p>
        </w:tc>
        <w:tc>
          <w:tcPr>
            <w:tcW w:type="dxa" w:w="4433"/>
            <w:shd w:fill="E8EEF5" w:color="auto" w:val="clear"/>
            <w:tcMar>
              <w:top w:type="dxa" w:w="60"/>
              <w:left w:type="dxa" w:w="100"/>
              <w:bottom w:type="dxa" w:w="60"/>
              <w:right w:type="dxa" w:w="100"/>
            </w:tcMar>
          </w:tcPr>
          <w:p>
            <w:pPr>
              <w:spacing w:after="40"/>
            </w:pPr>
            <w:r>
              <w:rPr>
                <w:sz w:val="19"/>
                <w:szCs w:val="19"/>
              </w:rPr>
              <w:t xml:space="preserve">B3 — Construire un visuel</w:t>
            </w:r>
          </w:p>
        </w:tc>
        <w:tc>
          <w:tcPr>
            <w:tcW w:type="dxa" w:w="2700"/>
            <w:shd w:fill="E8EEF5" w:color="auto" w:val="clear"/>
            <w:tcMar>
              <w:top w:type="dxa" w:w="60"/>
              <w:left w:type="dxa" w:w="100"/>
              <w:bottom w:type="dxa" w:w="60"/>
              <w:right w:type="dxa" w:w="100"/>
            </w:tcMar>
          </w:tcPr>
          <w:p>
            <w:pPr>
              <w:spacing w:after="40"/>
            </w:pPr>
            <w:r>
              <w:rPr>
                <w:sz w:val="19"/>
                <w:szCs w:val="19"/>
              </w:rPr>
              <w:t xml:space="preserve">Un visuel décisionnel</w:t>
            </w:r>
          </w:p>
        </w:tc>
      </w:tr>
      <w:tr>
        <w:tc>
          <w:tcPr>
            <w:tcW w:type="dxa" w:w="1542"/>
            <w:tcMar>
              <w:top w:type="dxa" w:w="60"/>
              <w:left w:type="dxa" w:w="100"/>
              <w:bottom w:type="dxa" w:w="60"/>
              <w:right w:type="dxa" w:w="100"/>
            </w:tcMar>
          </w:tcPr>
          <w:p>
            <w:pPr>
              <w:spacing w:after="40"/>
            </w:pPr>
            <w:r>
              <w:rPr>
                <w:sz w:val="19"/>
                <w:szCs w:val="19"/>
              </w:rPr>
              <w:t xml:space="preserve">11:25–12:20</w:t>
            </w:r>
          </w:p>
        </w:tc>
        <w:tc>
          <w:tcPr>
            <w:tcW w:type="dxa" w:w="963"/>
            <w:tcMar>
              <w:top w:type="dxa" w:w="60"/>
              <w:left w:type="dxa" w:w="100"/>
              <w:bottom w:type="dxa" w:w="60"/>
              <w:right w:type="dxa" w:w="100"/>
            </w:tcMar>
          </w:tcPr>
          <w:p>
            <w:pPr>
              <w:spacing w:after="40"/>
            </w:pPr>
            <w:r>
              <w:rPr>
                <w:sz w:val="19"/>
                <w:szCs w:val="19"/>
              </w:rPr>
              <w:t xml:space="preserve">55</w:t>
            </w:r>
          </w:p>
        </w:tc>
        <w:tc>
          <w:tcPr>
            <w:tcW w:type="dxa" w:w="4433"/>
            <w:tcMar>
              <w:top w:type="dxa" w:w="60"/>
              <w:left w:type="dxa" w:w="100"/>
              <w:bottom w:type="dxa" w:w="60"/>
              <w:right w:type="dxa" w:w="100"/>
            </w:tcMar>
          </w:tcPr>
          <w:p>
            <w:pPr>
              <w:spacing w:after="40"/>
            </w:pPr>
            <w:r>
              <w:rPr>
                <w:sz w:val="19"/>
                <w:szCs w:val="19"/>
              </w:rPr>
              <w:t xml:space="preserve">B4 — Communiquer après incident</w:t>
            </w:r>
          </w:p>
        </w:tc>
        <w:tc>
          <w:tcPr>
            <w:tcW w:type="dxa" w:w="2700"/>
            <w:tcMar>
              <w:top w:type="dxa" w:w="60"/>
              <w:left w:type="dxa" w:w="100"/>
              <w:bottom w:type="dxa" w:w="60"/>
              <w:right w:type="dxa" w:w="100"/>
            </w:tcMar>
          </w:tcPr>
          <w:p>
            <w:pPr>
              <w:spacing w:after="40"/>
            </w:pPr>
            <w:r>
              <w:rPr>
                <w:sz w:val="19"/>
                <w:szCs w:val="19"/>
              </w:rPr>
              <w:t xml:space="preserve">Message interne et message clients</w:t>
            </w:r>
          </w:p>
        </w:tc>
      </w:tr>
      <w:tr>
        <w:tc>
          <w:tcPr>
            <w:tcW w:type="dxa" w:w="1542"/>
            <w:shd w:fill="E8EEF5" w:color="auto" w:val="clear"/>
            <w:tcMar>
              <w:top w:type="dxa" w:w="60"/>
              <w:left w:type="dxa" w:w="100"/>
              <w:bottom w:type="dxa" w:w="60"/>
              <w:right w:type="dxa" w:w="100"/>
            </w:tcMar>
          </w:tcPr>
          <w:p>
            <w:pPr>
              <w:spacing w:after="40"/>
            </w:pPr>
            <w:r>
              <w:rPr>
                <w:sz w:val="19"/>
                <w:szCs w:val="19"/>
              </w:rPr>
              <w:t xml:space="preserve">12:20–13:00</w:t>
            </w:r>
          </w:p>
        </w:tc>
        <w:tc>
          <w:tcPr>
            <w:tcW w:type="dxa" w:w="963"/>
            <w:shd w:fill="E8EEF5" w:color="auto" w:val="clear"/>
            <w:tcMar>
              <w:top w:type="dxa" w:w="60"/>
              <w:left w:type="dxa" w:w="100"/>
              <w:bottom w:type="dxa" w:w="60"/>
              <w:right w:type="dxa" w:w="100"/>
            </w:tcMar>
          </w:tcPr>
          <w:p>
            <w:pPr>
              <w:spacing w:after="40"/>
            </w:pPr>
            <w:r>
              <w:rPr>
                <w:sz w:val="19"/>
                <w:szCs w:val="19"/>
              </w:rPr>
              <w:t xml:space="preserve">40</w:t>
            </w:r>
          </w:p>
        </w:tc>
        <w:tc>
          <w:tcPr>
            <w:tcW w:type="dxa" w:w="4433"/>
            <w:shd w:fill="E8EEF5" w:color="auto" w:val="clear"/>
            <w:tcMar>
              <w:top w:type="dxa" w:w="60"/>
              <w:left w:type="dxa" w:w="100"/>
              <w:bottom w:type="dxa" w:w="60"/>
              <w:right w:type="dxa" w:w="100"/>
            </w:tcMar>
          </w:tcPr>
          <w:p>
            <w:pPr>
              <w:spacing w:after="40"/>
            </w:pPr>
            <w:r>
              <w:rPr>
                <w:sz w:val="19"/>
                <w:szCs w:val="19"/>
              </w:rPr>
              <w:t xml:space="preserve">B5 — Répétition du pitch</w:t>
            </w:r>
          </w:p>
        </w:tc>
        <w:tc>
          <w:tcPr>
            <w:tcW w:type="dxa" w:w="2700"/>
            <w:shd w:fill="E8EEF5" w:color="auto" w:val="clear"/>
            <w:tcMar>
              <w:top w:type="dxa" w:w="60"/>
              <w:left w:type="dxa" w:w="100"/>
              <w:bottom w:type="dxa" w:w="60"/>
              <w:right w:type="dxa" w:w="100"/>
            </w:tcMar>
          </w:tcPr>
          <w:p>
            <w:pPr>
              <w:spacing w:after="40"/>
            </w:pPr>
            <w:r>
              <w:rPr>
                <w:sz w:val="19"/>
                <w:szCs w:val="19"/>
              </w:rPr>
              <w:t xml:space="preserve">5 min de pitch + question + retour</w:t>
            </w:r>
          </w:p>
        </w:tc>
      </w:tr>
      <w:tr>
        <w:tc>
          <w:tcPr>
            <w:tcW w:type="dxa" w:w="1542"/>
            <w:tcMar>
              <w:top w:type="dxa" w:w="60"/>
              <w:left w:type="dxa" w:w="100"/>
              <w:bottom w:type="dxa" w:w="60"/>
              <w:right w:type="dxa" w:w="100"/>
            </w:tcMar>
          </w:tcPr>
          <w:p>
            <w:pPr>
              <w:spacing w:after="40"/>
            </w:pPr>
            <w:r>
              <w:rPr>
                <w:sz w:val="19"/>
                <w:szCs w:val="19"/>
              </w:rPr>
              <w:t xml:space="preserve">13:00–14:00</w:t>
            </w:r>
          </w:p>
        </w:tc>
        <w:tc>
          <w:tcPr>
            <w:tcW w:type="dxa" w:w="963"/>
            <w:tcMar>
              <w:top w:type="dxa" w:w="60"/>
              <w:left w:type="dxa" w:w="100"/>
              <w:bottom w:type="dxa" w:w="60"/>
              <w:right w:type="dxa" w:w="100"/>
            </w:tcMar>
          </w:tcPr>
          <w:p>
            <w:pPr>
              <w:spacing w:after="40"/>
            </w:pPr>
          </w:p>
        </w:tc>
        <w:tc>
          <w:tcPr>
            <w:tcW w:type="dxa" w:w="4433"/>
            <w:tcMar>
              <w:top w:type="dxa" w:w="60"/>
              <w:left w:type="dxa" w:w="100"/>
              <w:bottom w:type="dxa" w:w="60"/>
              <w:right w:type="dxa" w:w="100"/>
            </w:tcMar>
          </w:tcPr>
          <w:p>
            <w:pPr>
              <w:spacing w:after="40"/>
            </w:pPr>
            <w:r>
              <w:rPr>
                <w:sz w:val="19"/>
                <w:szCs w:val="19"/>
              </w:rPr>
              <w:t xml:space="preserve">Déjeuner (hors des 7 h)</w:t>
            </w:r>
          </w:p>
        </w:tc>
        <w:tc>
          <w:tcPr>
            <w:tcW w:type="dxa" w:w="2700"/>
            <w:tcMar>
              <w:top w:type="dxa" w:w="60"/>
              <w:left w:type="dxa" w:w="100"/>
              <w:bottom w:type="dxa" w:w="60"/>
              <w:right w:type="dxa" w:w="100"/>
            </w:tcMar>
          </w:tcPr>
          <w:p>
            <w:pPr>
              <w:spacing w:after="40"/>
            </w:pPr>
          </w:p>
        </w:tc>
      </w:tr>
      <w:tr>
        <w:tc>
          <w:tcPr>
            <w:tcW w:type="dxa" w:w="1542"/>
            <w:shd w:fill="E8EEF5" w:color="auto" w:val="clear"/>
            <w:tcMar>
              <w:top w:type="dxa" w:w="60"/>
              <w:left w:type="dxa" w:w="100"/>
              <w:bottom w:type="dxa" w:w="60"/>
              <w:right w:type="dxa" w:w="100"/>
            </w:tcMar>
          </w:tcPr>
          <w:p>
            <w:pPr>
              <w:spacing w:after="40"/>
            </w:pPr>
            <w:r>
              <w:rPr>
                <w:sz w:val="19"/>
                <w:szCs w:val="19"/>
              </w:rPr>
              <w:t xml:space="preserve">14:00–14:20</w:t>
            </w:r>
          </w:p>
        </w:tc>
        <w:tc>
          <w:tcPr>
            <w:tcW w:type="dxa" w:w="963"/>
            <w:shd w:fill="E8EEF5" w:color="auto" w:val="clear"/>
            <w:tcMar>
              <w:top w:type="dxa" w:w="60"/>
              <w:left w:type="dxa" w:w="100"/>
              <w:bottom w:type="dxa" w:w="60"/>
              <w:right w:type="dxa" w:w="100"/>
            </w:tcMar>
          </w:tcPr>
          <w:p>
            <w:pPr>
              <w:spacing w:after="40"/>
            </w:pPr>
            <w:r>
              <w:rPr>
                <w:sz w:val="19"/>
                <w:szCs w:val="19"/>
              </w:rPr>
              <w:t xml:space="preserve">20</w:t>
            </w:r>
          </w:p>
        </w:tc>
        <w:tc>
          <w:tcPr>
            <w:tcW w:type="dxa" w:w="4433"/>
            <w:shd w:fill="E8EEF5" w:color="auto" w:val="clear"/>
            <w:tcMar>
              <w:top w:type="dxa" w:w="60"/>
              <w:left w:type="dxa" w:w="100"/>
              <w:bottom w:type="dxa" w:w="60"/>
              <w:right w:type="dxa" w:w="100"/>
            </w:tcMar>
          </w:tcPr>
          <w:p>
            <w:pPr>
              <w:spacing w:after="40"/>
            </w:pPr>
            <w:r>
              <w:rPr>
                <w:sz w:val="19"/>
                <w:szCs w:val="19"/>
              </w:rPr>
              <w:t xml:space="preserve">B6 — Préparer le contrôle</w:t>
            </w:r>
          </w:p>
        </w:tc>
        <w:tc>
          <w:tcPr>
            <w:tcW w:type="dxa" w:w="2700"/>
            <w:shd w:fill="E8EEF5" w:color="auto" w:val="clear"/>
            <w:tcMar>
              <w:top w:type="dxa" w:w="60"/>
              <w:left w:type="dxa" w:w="100"/>
              <w:bottom w:type="dxa" w:w="60"/>
              <w:right w:type="dxa" w:w="100"/>
            </w:tcMar>
          </w:tcPr>
          <w:p>
            <w:pPr>
              <w:spacing w:after="40"/>
            </w:pPr>
            <w:r>
              <w:rPr>
                <w:sz w:val="19"/>
                <w:szCs w:val="19"/>
              </w:rPr>
              <w:t xml:space="preserve">Consigne et critères compris</w:t>
            </w:r>
          </w:p>
        </w:tc>
      </w:tr>
      <w:tr>
        <w:tc>
          <w:tcPr>
            <w:tcW w:type="dxa" w:w="1542"/>
            <w:tcMar>
              <w:top w:type="dxa" w:w="60"/>
              <w:left w:type="dxa" w:w="100"/>
              <w:bottom w:type="dxa" w:w="60"/>
              <w:right w:type="dxa" w:w="100"/>
            </w:tcMar>
          </w:tcPr>
          <w:p>
            <w:pPr>
              <w:spacing w:after="40"/>
            </w:pPr>
            <w:r>
              <w:rPr>
                <w:sz w:val="19"/>
                <w:szCs w:val="19"/>
              </w:rPr>
              <w:t xml:space="preserve">14:20–14:35</w:t>
            </w:r>
          </w:p>
        </w:tc>
        <w:tc>
          <w:tcPr>
            <w:tcW w:type="dxa" w:w="963"/>
            <w:tcMar>
              <w:top w:type="dxa" w:w="60"/>
              <w:left w:type="dxa" w:w="100"/>
              <w:bottom w:type="dxa" w:w="60"/>
              <w:right w:type="dxa" w:w="100"/>
            </w:tcMar>
          </w:tcPr>
          <w:p>
            <w:pPr>
              <w:spacing w:after="40"/>
            </w:pPr>
            <w:r>
              <w:rPr>
                <w:sz w:val="19"/>
                <w:szCs w:val="19"/>
              </w:rPr>
              <w:t xml:space="preserve">15</w:t>
            </w:r>
          </w:p>
        </w:tc>
        <w:tc>
          <w:tcPr>
            <w:tcW w:type="dxa" w:w="4433"/>
            <w:tcMar>
              <w:top w:type="dxa" w:w="60"/>
              <w:left w:type="dxa" w:w="100"/>
              <w:bottom w:type="dxa" w:w="60"/>
              <w:right w:type="dxa" w:w="100"/>
            </w:tcMar>
          </w:tcPr>
          <w:p>
            <w:pPr>
              <w:spacing w:after="40"/>
            </w:pPr>
            <w:r>
              <w:rPr>
                <w:sz w:val="19"/>
                <w:szCs w:val="19"/>
              </w:rPr>
              <w:t xml:space="preserve">Pause</w:t>
            </w:r>
          </w:p>
        </w:tc>
        <w:tc>
          <w:tcPr>
            <w:tcW w:type="dxa" w:w="2700"/>
            <w:tcMar>
              <w:top w:type="dxa" w:w="60"/>
              <w:left w:type="dxa" w:w="100"/>
              <w:bottom w:type="dxa" w:w="60"/>
              <w:right w:type="dxa" w:w="100"/>
            </w:tcMar>
          </w:tcPr>
          <w:p>
            <w:pPr>
              <w:spacing w:after="40"/>
            </w:pPr>
          </w:p>
        </w:tc>
      </w:tr>
      <w:tr>
        <w:tc>
          <w:tcPr>
            <w:tcW w:type="dxa" w:w="1542"/>
            <w:shd w:fill="E8EEF5" w:color="auto" w:val="clear"/>
            <w:tcMar>
              <w:top w:type="dxa" w:w="60"/>
              <w:left w:type="dxa" w:w="100"/>
              <w:bottom w:type="dxa" w:w="60"/>
              <w:right w:type="dxa" w:w="100"/>
            </w:tcMar>
          </w:tcPr>
          <w:p>
            <w:pPr>
              <w:spacing w:after="40"/>
            </w:pPr>
            <w:r>
              <w:rPr>
                <w:sz w:val="19"/>
                <w:szCs w:val="19"/>
              </w:rPr>
              <w:t xml:space="preserve">14:35–16:35</w:t>
            </w:r>
          </w:p>
        </w:tc>
        <w:tc>
          <w:tcPr>
            <w:tcW w:type="dxa" w:w="963"/>
            <w:shd w:fill="E8EEF5" w:color="auto" w:val="clear"/>
            <w:tcMar>
              <w:top w:type="dxa" w:w="60"/>
              <w:left w:type="dxa" w:w="100"/>
              <w:bottom w:type="dxa" w:w="60"/>
              <w:right w:type="dxa" w:w="100"/>
            </w:tcMar>
          </w:tcPr>
          <w:p>
            <w:pPr>
              <w:spacing w:after="40"/>
            </w:pPr>
            <w:r>
              <w:rPr>
                <w:sz w:val="19"/>
                <w:szCs w:val="19"/>
              </w:rPr>
              <w:t xml:space="preserve">120</w:t>
            </w:r>
          </w:p>
        </w:tc>
        <w:tc>
          <w:tcPr>
            <w:tcW w:type="dxa" w:w="4433"/>
            <w:shd w:fill="E8EEF5" w:color="auto" w:val="clear"/>
            <w:tcMar>
              <w:top w:type="dxa" w:w="60"/>
              <w:left w:type="dxa" w:w="100"/>
              <w:bottom w:type="dxa" w:w="60"/>
              <w:right w:type="dxa" w:w="100"/>
            </w:tcMar>
          </w:tcPr>
          <w:p>
            <w:pPr>
              <w:spacing w:after="40"/>
            </w:pPr>
            <w:r>
              <w:rPr>
                <w:sz w:val="19"/>
                <w:szCs w:val="19"/>
              </w:rPr>
              <w:t xml:space="preserve">Écrit individuel NEREIS</w:t>
            </w:r>
          </w:p>
        </w:tc>
        <w:tc>
          <w:tcPr>
            <w:tcW w:type="dxa" w:w="2700"/>
            <w:shd w:fill="E8EEF5" w:color="auto" w:val="clear"/>
            <w:tcMar>
              <w:top w:type="dxa" w:w="60"/>
              <w:left w:type="dxa" w:w="100"/>
              <w:bottom w:type="dxa" w:w="60"/>
              <w:right w:type="dxa" w:w="100"/>
            </w:tcMar>
          </w:tcPr>
          <w:p>
            <w:pPr>
              <w:spacing w:after="40"/>
            </w:pPr>
            <w:r>
              <w:rPr>
                <w:sz w:val="19"/>
                <w:szCs w:val="19"/>
              </w:rPr>
              <w:t xml:space="preserve">Rapport de 3 pages maximum</w:t>
            </w:r>
          </w:p>
        </w:tc>
      </w:tr>
      <w:tr>
        <w:tc>
          <w:tcPr>
            <w:tcW w:type="dxa" w:w="1542"/>
            <w:tcMar>
              <w:top w:type="dxa" w:w="60"/>
              <w:left w:type="dxa" w:w="100"/>
              <w:bottom w:type="dxa" w:w="60"/>
              <w:right w:type="dxa" w:w="100"/>
            </w:tcMar>
          </w:tcPr>
          <w:p>
            <w:pPr>
              <w:spacing w:after="40"/>
            </w:pPr>
            <w:r>
              <w:rPr>
                <w:sz w:val="19"/>
                <w:szCs w:val="19"/>
              </w:rPr>
              <w:t xml:space="preserve">16:35–17:00</w:t>
            </w:r>
          </w:p>
        </w:tc>
        <w:tc>
          <w:tcPr>
            <w:tcW w:type="dxa" w:w="963"/>
            <w:tcMar>
              <w:top w:type="dxa" w:w="60"/>
              <w:left w:type="dxa" w:w="100"/>
              <w:bottom w:type="dxa" w:w="60"/>
              <w:right w:type="dxa" w:w="100"/>
            </w:tcMar>
          </w:tcPr>
          <w:p>
            <w:pPr>
              <w:spacing w:after="40"/>
            </w:pPr>
            <w:r>
              <w:rPr>
                <w:sz w:val="19"/>
                <w:szCs w:val="19"/>
              </w:rPr>
              <w:t xml:space="preserve">25</w:t>
            </w:r>
          </w:p>
        </w:tc>
        <w:tc>
          <w:tcPr>
            <w:tcW w:type="dxa" w:w="4433"/>
            <w:tcMar>
              <w:top w:type="dxa" w:w="60"/>
              <w:left w:type="dxa" w:w="100"/>
              <w:bottom w:type="dxa" w:w="60"/>
              <w:right w:type="dxa" w:w="100"/>
            </w:tcMar>
          </w:tcPr>
          <w:p>
            <w:pPr>
              <w:spacing w:after="40"/>
            </w:pPr>
            <w:r>
              <w:rPr>
                <w:sz w:val="19"/>
                <w:szCs w:val="19"/>
              </w:rPr>
              <w:t xml:space="preserve">Collecte et préparation de janvier</w:t>
            </w:r>
          </w:p>
        </w:tc>
        <w:tc>
          <w:tcPr>
            <w:tcW w:type="dxa" w:w="2700"/>
            <w:tcMar>
              <w:top w:type="dxa" w:w="60"/>
              <w:left w:type="dxa" w:w="100"/>
              <w:bottom w:type="dxa" w:w="60"/>
              <w:right w:type="dxa" w:w="100"/>
            </w:tcMar>
          </w:tcPr>
          <w:p>
            <w:pPr>
              <w:spacing w:after="40"/>
            </w:pPr>
          </w:p>
        </w:tc>
      </w:tr>
    </w:tbl>
    <w:p>
      <w:pPr>
        <w:spacing w:after="120"/>
      </w:pPr>
    </w:p>
    <w:p>
      <w:pPr>
        <w:spacing w:after="120"/>
      </w:pPr>
      <w:r>
        <w:t xml:space="preserve">390 minutes d’activités et 30 minutes de pauses. Ce calage aux horaires 9 h–13 h / 14 h–17 h ramène B1 de 30 à 25 min et B4 de 60 à 55 min, et porte la clôture de 15 à 25 min ; l’écrit garde ses 120 minutes.</w:t>
      </w:r>
    </w:p>
    <w:p>
      <w:pPr>
        <w:spacing w:after="120"/>
      </w:pPr>
      <w:r>
        <w:rPr>
          <w:b/>
          <w:bCs/>
        </w:rPr>
        <w:t xml:space="preserve">Organisation.</w:t>
      </w:r>
      <w:r>
        <w:t xml:space="preserve"> Groupes de trois ou quatre (sept étudiants : un groupe de trois et un de quatre). L’écrit est individuel, avec des moyens identiques ; les aménagements EPITA s’appliquent. Le sujet NEREIS est distribué au début de l’épreuve ; aucune préparation à domicile.</w:t>
      </w:r>
    </w:p>
    <w:p>
      <w:pPr>
        <w:spacing w:after="120"/>
      </w:pPr>
      <w:r>
        <w:rPr>
          <w:b/>
          <w:bCs/>
        </w:rPr>
        <w:t xml:space="preserve">Point de décision avant l’écrit.</w:t>
      </w:r>
      <w:r>
        <w:t xml:space="preserve"> B6 vérifie que chacun comprend le format et les critères. Si une difficulté collective majeure empêche une évaluation équitable, convenir d’un aménagement avec EPITA ; ne pas improviser une baisse d’exigence ou un report.</w:t>
      </w:r>
    </w:p>
    <w:p>
      <w:pPr>
        <w:spacing w:after="120"/>
      </w:pPr>
      <w:r>
        <w:rPr>
          <w:b/>
          <w:bCs/>
        </w:rPr>
        <w:t xml:space="preserve">À préparer.</w:t>
      </w:r>
      <w:r>
        <w:t xml:space="preserve"> Livrets du 6/11, fiche ORION, mise à jour B4 (à garder jusqu’au moment voulu), sujet NEREIS (réservé), aide-mémoire, grille de l’écrit, chronomètre, grille d’observation d’octobre.</w:t>
      </w:r>
    </w:p>
    <w:p>
      <w:pPr>
        <w:pStyle w:val="Heading1"/>
      </w:pPr>
      <w:r>
        <w:t xml:space="preserve">B1 — Construire un récit utile à la décision (25 min)</w:t>
      </w:r>
    </w:p>
    <w:p>
      <w:pPr>
        <w:spacing w:after="120"/>
      </w:pPr>
      <w:r>
        <w:t xml:space="preserve">Individuel, puis échange avec un partenaire, sur le cas ERP (consigne dans le livret).</w:t>
      </w:r>
    </w:p>
    <w:p>
      <w:pPr>
        <w:spacing w:after="120"/>
      </w:pPr>
      <w:r>
        <w:rPr>
          <w:b/>
          <w:bCs/>
        </w:rPr>
        <w:t xml:space="preserve">Déroulé :</w:t>
      </w:r>
      <w:r>
        <w:t xml:space="preserve"> 5 min de rappel individuel • 4 min de démonstration • 4 min de préparation • 9 min en binôme ou trinôme (en trinôme : 90 s de parole et 90 s de retour chacun) • 3 min de débrief.</w:t>
      </w:r>
    </w:p>
    <w:p>
      <w:pPr>
        <w:spacing w:after="120"/>
      </w:pPr>
      <w:r>
        <w:rPr>
          <w:b/>
          <w:bCs/>
        </w:rPr>
        <w:t xml:space="preserve">Apport bref — storytelling sans fiction ajoutée.</w:t>
      </w:r>
      <w:r>
        <w:t xml:space="preserve"> Un récit décisionnel rend compréhensible le passage d’une activité normale à un problème, puis à un choix. Il n’ajoute ni victime imaginaire, ni perte non documentée. En restitution, la recommandation peut précéder le récit.</w:t>
      </w:r>
    </w:p>
    <w:p>
      <w:pPr>
        <w:pBdr>
          <w:left w:val="single" w:color="1F3A5F" w:sz="12" w:space="8"/>
        </w:pBdr>
        <w:spacing w:after="120"/>
        <w:ind w:left="400"/>
      </w:pPr>
      <w:r>
        <w:rPr>
          <w:i/>
          <w:iCs/>
        </w:rPr>
        <w:t xml:space="preserve">« Je présente l’arbitrage entre notre besoin de corriger la faille et la contrainte d’interruption de l’outil de commande. Je recommande l’intervention estimée à 4 500 € et demande l’accord de principe sur les quatre heures d’arrêt. Notre outil soutient les commandes ; la faille identifiée expose cette activité et les données. Reporter maintient cette exposition. Le créneau et les conditions d’intervention restent à confirmer avec les opérations. »</w:t>
      </w:r>
    </w:p>
    <w:p>
      <w:pPr>
        <w:spacing w:after="120"/>
      </w:pPr>
      <w:r>
        <w:rPr>
          <w:b/>
          <w:bCs/>
        </w:rPr>
        <w:t xml:space="preserve">Observer :</w:t>
      </w:r>
      <w:r>
        <w:t xml:space="preserve"> rôle clair sans récitation de CV ; le métier avant le détail technique ; le récit soutient la demande et respecte les faits ; le partenaire repère une donnée inventée.</w:t>
      </w:r>
    </w:p>
    <w:p>
      <w:pPr>
        <w:spacing w:after="120"/>
      </w:pPr>
      <w:r>
        <w:rPr>
          <w:b/>
          <w:bCs/>
        </w:rPr>
        <w:t xml:space="preserve">Question de sortie :</w:t>
      </w:r>
      <w:r>
        <w:t xml:space="preserve"> « Quel élément de votre récit aide réellement la direction à décider ? »</w:t>
      </w:r>
    </w:p>
    <w:p>
      <w:pPr>
        <w:spacing w:after="120"/>
      </w:pPr>
      <w:r>
        <w:t xml:space="preserve">Si le ticket de sortie du 16/10 montre que la demande de décision ou la distinction fait/hypothèse reste fragile, faire de B1 un essai guidé ; sinon, passer plus vite à B2.</w:t>
      </w:r>
    </w:p>
    <w:p>
      <w:pPr>
        <w:pStyle w:val="Heading1"/>
      </w:pPr>
      <w:r>
        <w:t xml:space="preserve">B2 — Comparer sans inventer un ROI (60 min)</w:t>
      </w:r>
    </w:p>
    <w:p>
      <w:pPr>
        <w:spacing w:after="120"/>
      </w:pPr>
      <w:r>
        <w:rPr>
          <w:b/>
          <w:bCs/>
        </w:rPr>
        <w:t xml:space="preserve">Déroulé :</w:t>
      </w:r>
      <w:r>
        <w:t xml:space="preserve"> 8 min de lecture et clarification • 12 min de tableau en binôme • 10 min de choix • 12 min de confrontation avec un autre binôme • 10 min de rédaction individuelle (80 à 100 mots) • 8 min de débrief.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shd w:fill="1F3A5F" w:color="auto" w:val="clear"/>
            <w:tcMar>
              <w:top w:type="dxa" w:w="60"/>
              <w:left w:type="dxa" w:w="100"/>
              <w:bottom w:type="dxa" w:w="60"/>
              <w:right w:type="dxa" w:w="100"/>
            </w:tcMar>
          </w:tcPr>
          <w:p>
            <w:pPr>
              <w:spacing w:after="40"/>
            </w:pPr>
            <w:r>
              <w:rPr>
                <w:b/>
                <w:bCs/>
                <w:color w:val="FFFFFF"/>
                <w:sz w:val="19"/>
                <w:szCs w:val="19"/>
              </w:rPr>
              <w:t xml:space="preserve">Dimension</w:t>
            </w:r>
          </w:p>
        </w:tc>
        <w:tc>
          <w:tcPr>
            <w:tcW w:type="dxa" w:w="3662"/>
            <w:shd w:fill="1F3A5F" w:color="auto" w:val="clear"/>
            <w:tcMar>
              <w:top w:type="dxa" w:w="60"/>
              <w:left w:type="dxa" w:w="100"/>
              <w:bottom w:type="dxa" w:w="60"/>
              <w:right w:type="dxa" w:w="100"/>
            </w:tcMar>
          </w:tcPr>
          <w:p>
            <w:pPr>
              <w:spacing w:after="40"/>
            </w:pPr>
            <w:r>
              <w:rPr>
                <w:b/>
                <w:bCs/>
                <w:color w:val="FFFFFF"/>
                <w:sz w:val="19"/>
                <w:szCs w:val="19"/>
              </w:rPr>
              <w:t xml:space="preserve">A</w:t>
            </w:r>
          </w:p>
        </w:tc>
        <w:tc>
          <w:tcPr>
            <w:tcW w:type="dxa" w:w="3663"/>
            <w:shd w:fill="1F3A5F" w:color="auto" w:val="clear"/>
            <w:tcMar>
              <w:top w:type="dxa" w:w="60"/>
              <w:left w:type="dxa" w:w="100"/>
              <w:bottom w:type="dxa" w:w="60"/>
              <w:right w:type="dxa" w:w="100"/>
            </w:tcMar>
          </w:tcPr>
          <w:p>
            <w:pPr>
              <w:spacing w:after="40"/>
            </w:pPr>
            <w:r>
              <w:rPr>
                <w:b/>
                <w:bCs/>
                <w:color w:val="FFFFFF"/>
                <w:sz w:val="19"/>
                <w:szCs w:val="19"/>
              </w:rPr>
              <w:t xml:space="preserve">B</w:t>
            </w:r>
          </w:p>
        </w:tc>
      </w:tr>
      <w:tr>
        <w:tc>
          <w:tcPr>
            <w:tcW w:type="dxa" w:w="2313"/>
            <w:tcMar>
              <w:top w:type="dxa" w:w="60"/>
              <w:left w:type="dxa" w:w="100"/>
              <w:bottom w:type="dxa" w:w="60"/>
              <w:right w:type="dxa" w:w="100"/>
            </w:tcMar>
          </w:tcPr>
          <w:p>
            <w:pPr>
              <w:spacing w:after="40"/>
            </w:pPr>
            <w:r>
              <w:rPr>
                <w:sz w:val="19"/>
                <w:szCs w:val="19"/>
              </w:rPr>
              <w:t xml:space="preserve">Prestation externe</w:t>
            </w:r>
          </w:p>
        </w:tc>
        <w:tc>
          <w:tcPr>
            <w:tcW w:type="dxa" w:w="3662"/>
            <w:tcMar>
              <w:top w:type="dxa" w:w="60"/>
              <w:left w:type="dxa" w:w="100"/>
              <w:bottom w:type="dxa" w:w="60"/>
              <w:right w:type="dxa" w:w="100"/>
            </w:tcMar>
          </w:tcPr>
          <w:p>
            <w:pPr>
              <w:spacing w:after="40"/>
            </w:pPr>
            <w:r>
              <w:rPr>
                <w:sz w:val="19"/>
                <w:szCs w:val="19"/>
              </w:rPr>
              <w:t xml:space="preserve">2 400 €</w:t>
            </w:r>
          </w:p>
        </w:tc>
        <w:tc>
          <w:tcPr>
            <w:tcW w:type="dxa" w:w="3663"/>
            <w:tcMar>
              <w:top w:type="dxa" w:w="60"/>
              <w:left w:type="dxa" w:w="100"/>
              <w:bottom w:type="dxa" w:w="60"/>
              <w:right w:type="dxa" w:w="100"/>
            </w:tcMar>
          </w:tcPr>
          <w:p>
            <w:pPr>
              <w:spacing w:after="40"/>
            </w:pPr>
            <w:r>
              <w:rPr>
                <w:sz w:val="19"/>
                <w:szCs w:val="19"/>
              </w:rPr>
              <w:t xml:space="preserve">4 200 €</w:t>
            </w:r>
          </w:p>
        </w:tc>
      </w:tr>
      <w:tr>
        <w:tc>
          <w:tcPr>
            <w:tcW w:type="dxa" w:w="2313"/>
            <w:shd w:fill="E8EEF5" w:color="auto" w:val="clear"/>
            <w:tcMar>
              <w:top w:type="dxa" w:w="60"/>
              <w:left w:type="dxa" w:w="100"/>
              <w:bottom w:type="dxa" w:w="60"/>
              <w:right w:type="dxa" w:w="100"/>
            </w:tcMar>
          </w:tcPr>
          <w:p>
            <w:pPr>
              <w:spacing w:after="40"/>
            </w:pPr>
            <w:r>
              <w:rPr>
                <w:sz w:val="19"/>
                <w:szCs w:val="19"/>
              </w:rPr>
              <w:t xml:space="preserve">Délai depuis l’accord</w:t>
            </w:r>
          </w:p>
        </w:tc>
        <w:tc>
          <w:tcPr>
            <w:tcW w:type="dxa" w:w="3662"/>
            <w:shd w:fill="E8EEF5" w:color="auto" w:val="clear"/>
            <w:tcMar>
              <w:top w:type="dxa" w:w="60"/>
              <w:left w:type="dxa" w:w="100"/>
              <w:bottom w:type="dxa" w:w="60"/>
              <w:right w:type="dxa" w:w="100"/>
            </w:tcMar>
          </w:tcPr>
          <w:p>
            <w:pPr>
              <w:spacing w:after="40"/>
            </w:pPr>
            <w:r>
              <w:rPr>
                <w:sz w:val="19"/>
                <w:szCs w:val="19"/>
              </w:rPr>
              <w:t xml:space="preserve">3 h estimées (reprise à midi)</w:t>
            </w:r>
          </w:p>
        </w:tc>
        <w:tc>
          <w:tcPr>
            <w:tcW w:type="dxa" w:w="3663"/>
            <w:shd w:fill="E8EEF5" w:color="auto" w:val="clear"/>
            <w:tcMar>
              <w:top w:type="dxa" w:w="60"/>
              <w:left w:type="dxa" w:w="100"/>
              <w:bottom w:type="dxa" w:w="60"/>
              <w:right w:type="dxa" w:w="100"/>
            </w:tcMar>
          </w:tcPr>
          <w:p>
            <w:pPr>
              <w:spacing w:after="40"/>
            </w:pPr>
            <w:r>
              <w:rPr>
                <w:sz w:val="19"/>
                <w:szCs w:val="19"/>
              </w:rPr>
              <w:t xml:space="preserve">6 h estimées (reprise à 15 h)</w:t>
            </w:r>
          </w:p>
        </w:tc>
      </w:tr>
      <w:tr>
        <w:tc>
          <w:tcPr>
            <w:tcW w:type="dxa" w:w="2313"/>
            <w:tcMar>
              <w:top w:type="dxa" w:w="60"/>
              <w:left w:type="dxa" w:w="100"/>
              <w:bottom w:type="dxa" w:w="60"/>
              <w:right w:type="dxa" w:w="100"/>
            </w:tcMar>
          </w:tcPr>
          <w:p>
            <w:pPr>
              <w:spacing w:after="40"/>
            </w:pPr>
            <w:r>
              <w:rPr>
                <w:sz w:val="19"/>
                <w:szCs w:val="19"/>
              </w:rPr>
              <w:t xml:space="preserve">Travail interne</w:t>
            </w:r>
          </w:p>
        </w:tc>
        <w:tc>
          <w:tcPr>
            <w:tcW w:type="dxa" w:w="3662"/>
            <w:tcMar>
              <w:top w:type="dxa" w:w="60"/>
              <w:left w:type="dxa" w:w="100"/>
              <w:bottom w:type="dxa" w:w="60"/>
              <w:right w:type="dxa" w:w="100"/>
            </w:tcMar>
          </w:tcPr>
          <w:p>
            <w:pPr>
              <w:spacing w:after="40"/>
            </w:pPr>
            <w:r>
              <w:rPr>
                <w:sz w:val="19"/>
                <w:szCs w:val="19"/>
              </w:rPr>
              <w:t xml:space="preserve">6 heures-personnes</w:t>
            </w:r>
          </w:p>
        </w:tc>
        <w:tc>
          <w:tcPr>
            <w:tcW w:type="dxa" w:w="3663"/>
            <w:tcMar>
              <w:top w:type="dxa" w:w="60"/>
              <w:left w:type="dxa" w:w="100"/>
              <w:bottom w:type="dxa" w:w="60"/>
              <w:right w:type="dxa" w:w="100"/>
            </w:tcMar>
          </w:tcPr>
          <w:p>
            <w:pPr>
              <w:spacing w:after="40"/>
            </w:pPr>
            <w:r>
              <w:rPr>
                <w:sz w:val="19"/>
                <w:szCs w:val="19"/>
              </w:rPr>
              <w:t xml:space="preserve">1 heure-personne</w:t>
            </w:r>
          </w:p>
        </w:tc>
      </w:tr>
      <w:tr>
        <w:tc>
          <w:tcPr>
            <w:tcW w:type="dxa" w:w="2313"/>
            <w:shd w:fill="E8EEF5" w:color="auto" w:val="clear"/>
            <w:tcMar>
              <w:top w:type="dxa" w:w="60"/>
              <w:left w:type="dxa" w:w="100"/>
              <w:bottom w:type="dxa" w:w="60"/>
              <w:right w:type="dxa" w:w="100"/>
            </w:tcMar>
          </w:tcPr>
          <w:p>
            <w:pPr>
              <w:spacing w:after="40"/>
            </w:pPr>
            <w:r>
              <w:rPr>
                <w:sz w:val="19"/>
                <w:szCs w:val="19"/>
              </w:rPr>
              <w:t xml:space="preserve">Compromis</w:t>
            </w:r>
          </w:p>
        </w:tc>
        <w:tc>
          <w:tcPr>
            <w:tcW w:type="dxa" w:w="3662"/>
            <w:shd w:fill="E8EEF5" w:color="auto" w:val="clear"/>
            <w:tcMar>
              <w:top w:type="dxa" w:w="60"/>
              <w:left w:type="dxa" w:w="100"/>
              <w:bottom w:type="dxa" w:w="60"/>
              <w:right w:type="dxa" w:w="100"/>
            </w:tcMar>
          </w:tcPr>
          <w:p>
            <w:pPr>
              <w:spacing w:after="40"/>
            </w:pPr>
            <w:r>
              <w:rPr>
                <w:sz w:val="19"/>
                <w:szCs w:val="19"/>
              </w:rPr>
              <w:t xml:space="preserve">Reprise plus tôt ; rapprochement plus lourd (36 commandes)</w:t>
            </w:r>
          </w:p>
        </w:tc>
        <w:tc>
          <w:tcPr>
            <w:tcW w:type="dxa" w:w="3663"/>
            <w:shd w:fill="E8EEF5" w:color="auto" w:val="clear"/>
            <w:tcMar>
              <w:top w:type="dxa" w:w="60"/>
              <w:left w:type="dxa" w:w="100"/>
              <w:bottom w:type="dxa" w:w="60"/>
              <w:right w:type="dxa" w:w="100"/>
            </w:tcMar>
          </w:tcPr>
          <w:p>
            <w:pPr>
              <w:spacing w:after="40"/>
            </w:pPr>
            <w:r>
              <w:rPr>
                <w:sz w:val="19"/>
                <w:szCs w:val="19"/>
              </w:rPr>
              <w:t xml:space="preserve">Reprise plus tard ; rapprochement plus léger</w:t>
            </w:r>
          </w:p>
        </w:tc>
      </w:tr>
      <w:tr>
        <w:tc>
          <w:tcPr>
            <w:tcW w:type="dxa" w:w="2313"/>
            <w:tcMar>
              <w:top w:type="dxa" w:w="60"/>
              <w:left w:type="dxa" w:w="100"/>
              <w:bottom w:type="dxa" w:w="60"/>
              <w:right w:type="dxa" w:w="100"/>
            </w:tcMar>
          </w:tcPr>
          <w:p>
            <w:pPr>
              <w:spacing w:after="40"/>
            </w:pPr>
            <w:r>
              <w:rPr>
                <w:sz w:val="19"/>
                <w:szCs w:val="19"/>
              </w:rPr>
              <w:t xml:space="preserve">Limite commune</w:t>
            </w:r>
          </w:p>
        </w:tc>
        <w:tc>
          <w:tcPr>
            <w:tcW w:type="dxa" w:w="3662"/>
            <w:tcMar>
              <w:top w:type="dxa" w:w="60"/>
              <w:left w:type="dxa" w:w="100"/>
              <w:bottom w:type="dxa" w:w="60"/>
              <w:right w:type="dxa" w:w="100"/>
            </w:tcMar>
          </w:tcPr>
          <w:p>
            <w:pPr>
              <w:spacing w:after="40"/>
            </w:pPr>
            <w:r>
              <w:rPr>
                <w:sz w:val="19"/>
                <w:szCs w:val="19"/>
              </w:rPr>
              <w:t xml:space="preserve">Cause et coût total inconnus</w:t>
            </w:r>
          </w:p>
        </w:tc>
        <w:tc>
          <w:tcPr>
            <w:tcW w:type="dxa" w:w="3663"/>
            <w:tcMar>
              <w:top w:type="dxa" w:w="60"/>
              <w:left w:type="dxa" w:w="100"/>
              <w:bottom w:type="dxa" w:w="60"/>
              <w:right w:type="dxa" w:w="100"/>
            </w:tcMar>
          </w:tcPr>
          <w:p>
            <w:pPr>
              <w:spacing w:after="40"/>
            </w:pPr>
            <w:r>
              <w:rPr>
                <w:sz w:val="19"/>
                <w:szCs w:val="19"/>
              </w:rPr>
              <w:t xml:space="preserve">Cause et coût total inconnus</w:t>
            </w:r>
          </w:p>
        </w:tc>
      </w:tr>
    </w:tbl>
    <w:p>
      <w:pPr>
        <w:spacing w:after="120"/>
      </w:pPr>
    </w:p>
    <w:p>
      <w:pPr>
        <w:spacing w:after="120"/>
      </w:pPr>
      <w:r>
        <w:rPr>
          <w:b/>
          <w:bCs/>
        </w:rPr>
        <w:t xml:space="preserve">Réponses acceptables.</w:t>
      </w:r>
      <w:r>
        <w:t xml:space="preserve"> A : priorité à la reprise rapide, utilise les six heures internes disponibles ; reconnaître la charge de rapprochement et le délai estimatif. B : priorité à la réduction des reprises manuelles ; assumer trois heures d’indisponibilité de plus et un coût externe supérieur. Les deux sont recevables si le compromis est reconnu.</w:t>
      </w:r>
    </w:p>
    <w:p>
      <w:pPr>
        <w:spacing w:after="120"/>
      </w:pPr>
      <w:r>
        <w:t xml:space="preserve">Écarts : 1 800 € externes, 3 h de délai, 5 h de travail interne. Aucune conversion en économies totales ni en probabilité d’attaque n’est possible.</w:t>
      </w:r>
    </w:p>
    <w:p>
      <w:pPr>
        <w:spacing w:after="120"/>
      </w:pPr>
      <w:r>
        <w:rPr>
          <w:b/>
          <w:bCs/>
        </w:rPr>
        <w:t xml:space="preserve">Débrief :</w:t>
      </w:r>
      <w:r>
        <w:t xml:space="preserve"> « Quelle priorité métier justifie votre choix ? Quelle information ferait changer votre recommandation ? »</w:t>
      </w:r>
    </w:p>
    <w:p>
      <w:pPr>
        <w:pStyle w:val="Heading1"/>
      </w:pPr>
      <w:r>
        <w:t xml:space="preserve">B3 — Un visuel qui aide à arbitrer (45 min)</w:t>
      </w:r>
    </w:p>
    <w:p>
      <w:pPr>
        <w:spacing w:after="120"/>
      </w:pPr>
      <w:r>
        <w:rPr>
          <w:b/>
          <w:bCs/>
        </w:rPr>
        <w:t xml:space="preserve">Déroulé :</w:t>
      </w:r>
      <w:r>
        <w:t xml:space="preserve"> 7 min d’apport • 15 min de production • 8 min de test lecteur en binôme (20 secondes de lecture) • 10 min de révision • 5 min de débrief.</w:t>
      </w:r>
    </w:p>
    <w:p>
      <w:pPr>
        <w:spacing w:after="120"/>
      </w:pPr>
      <w:r>
        <w:rPr>
          <w:b/>
          <w:bCs/>
        </w:rPr>
        <w:t xml:space="preserve">Apport.</w:t>
      </w:r>
      <w:r>
        <w:t xml:space="preserve"> Séparer euros, délai et heures-personnes ; afficher unités et mention « estimé » ; barres partant de zéro ; titre qui porte le choix ou le compromis ; la couleur guide sans porter seule le sens. Repère : approche « assertion–evidence » (Garner &amp; Alley, 2013) — un message principal, soutenu par une preuve visuelle.</w:t>
      </w:r>
    </w:p>
    <w:p>
      <w:pPr>
        <w:pBdr>
          <w:left w:val="single" w:color="1F3A5F" w:sz="12" w:space="8"/>
        </w:pBdr>
        <w:spacing w:after="120"/>
        <w:ind w:left="400"/>
      </w:pPr>
      <w:r>
        <w:rPr>
          <w:i/>
          <w:iCs/>
        </w:rPr>
        <w:t xml:space="preserve">Exemple de titre : « A accélère la reprise estimée ; B réduit le rapprochement manuel ». A : 2 400 € externes • 3 h avant reprise • 6 h internes. B : 4 200 € externes • 6 h avant reprise • 1 h interne. Recommandation explicite. Coût du temps interne et de l’arrêt non chiffrés.</w:t>
      </w:r>
    </w:p>
    <w:p>
      <w:pPr>
        <w:spacing w:after="120"/>
      </w:pPr>
      <w:r>
        <w:rPr>
          <w:b/>
          <w:bCs/>
        </w:rPr>
        <w:t xml:space="preserve">Erreurs à faire corriger :</w:t>
      </w:r>
      <w:r>
        <w:t xml:space="preserve"> additionner heures de délai et heures de travail ; comparer 2 400 € et 6 h sur une même échelle ; annoncer une « économie » de 1 800 € ; représenter une probabilité inexistante ; masquer le coût de l’option recommandée.</w:t>
      </w:r>
    </w:p>
    <w:p>
      <w:pPr>
        <w:spacing w:after="120"/>
      </w:pPr>
      <w:r>
        <w:rPr>
          <w:b/>
          <w:bCs/>
        </w:rPr>
        <w:t xml:space="preserve">Test lecteur :</w:t>
      </w:r>
      <w:r>
        <w:t xml:space="preserve"> le lecteur cite le choix, une différence chiffrée et une limite sans explication. La qualité décorative n’est pas évaluée. Le visuel sert ensuite en B5.</w:t>
      </w:r>
    </w:p>
    <w:p>
      <w:pPr>
        <w:pStyle w:val="Heading1"/>
      </w:pPr>
      <w:r>
        <w:t xml:space="preserve">B4 — Communiquer après un incident (55 min)</w:t>
      </w:r>
    </w:p>
    <w:p>
      <w:pPr>
        <w:spacing w:after="120"/>
      </w:pPr>
      <w:r>
        <w:rPr>
          <w:b/>
          <w:bCs/>
        </w:rPr>
        <w:t xml:space="preserve">Déroulé :</w:t>
      </w:r>
      <w:r>
        <w:t xml:space="preserve"> 8 min d’apport • 12 min de rédaction • 10 min de lecture croisée • 5 min de mise à jour du cas • 12 min de révision • 8 min de débrief.</w:t>
      </w:r>
    </w:p>
    <w:p>
      <w:pPr>
        <w:spacing w:after="120"/>
      </w:pPr>
      <w:r>
        <w:rPr>
          <w:b/>
          <w:bCs/>
        </w:rPr>
        <w:t xml:space="preserve">Apport.</w:t>
      </w:r>
      <w:r>
        <w:t xml:space="preserve"> Le directeur reçoit l’arbitrage ; les clients reçoivent une information opérationnelle. Les faits sont cohérents d’un message à l’autre, mais chaque destinataire ne reçoit que les détails utiles. Repère : ANSSI (2026), </w:t>
      </w:r>
      <w:r>
        <w:rPr>
          <w:i/>
          <w:iCs/>
        </w:rPr>
        <w:t xml:space="preserve">Anticiper et gérer sa communication de crise cyber</w:t>
      </w:r>
      <w:r>
        <w:t xml:space="preserve"> — vérifier les faits, adapter interne/externe, annoncer le prochain point.</w:t>
      </w:r>
    </w:p>
    <w:p>
      <w:pPr>
        <w:pBdr>
          <w:left w:val="single" w:color="E09A2B" w:sz="18" w:space="8"/>
        </w:pBdr>
        <w:shd w:fill="FFF4E0" w:color="auto" w:val="clear"/>
        <w:spacing w:after="160" w:before="120"/>
      </w:pPr>
      <w:r>
        <w:t xml:space="preserve">Mise à jour à révéler après le premier essai : « Il est 10 h 30. L’équipe confirme que les deux délais restent des estimations et que l’analyse de la cause n’est pas terminée. Un client demande publiquement : “Avez-vous été piratés ? Mes données ont-elles été volées ?” Aucune donnée supplémentaire ne permet de répondre oui ou non. »</w:t>
      </w:r>
    </w:p>
    <w:p>
      <w:pPr>
        <w:pBdr>
          <w:left w:val="single" w:color="1F3A5F" w:sz="12" w:space="8"/>
        </w:pBdr>
        <w:spacing w:after="120"/>
        <w:ind w:left="400"/>
      </w:pPr>
      <w:r>
        <w:rPr>
          <w:i/>
          <w:iCs/>
        </w:rPr>
        <w:t xml:space="preserve">Réponse client possible : « Notre portail est indisponible depuis 8 h 20. Vous pouvez transmettre vos commandes par votre contact téléphonique habituel. Nos équipes travaillent au rétablissement et à l’analyse de l’incident. À ce stade, nous ne disposons pas d’éléments permettant de confirmer ou d’exclure une origine malveillante ou un vol de données. Nous publierons un nouveau point à 11 h, même si l’analyse est toujours en cours. »</w:t>
      </w:r>
    </w:p>
    <w:p>
      <w:pPr>
        <w:spacing w:after="120"/>
      </w:pPr>
      <w:r>
        <w:rPr>
          <w:b/>
          <w:bCs/>
        </w:rPr>
        <w:t xml:space="preserve">Note interne attendue :</w:t>
      </w:r>
      <w:r>
        <w:t xml:space="preserve"> demande d’autorisation explicite, coût externe exact, délai présenté comme estimation, conséquence du choix, vérification nécessaire. Pas de détail technique inutile ni d’obligation réglementaire inventée. Les messages sont des projets soumis aux responsables de l’incident et de la communication ; aucune qualification juridique n’est demandée.</w:t>
      </w:r>
    </w:p>
    <w:p>
      <w:pPr>
        <w:spacing w:after="120"/>
      </w:pPr>
      <w:r>
        <w:rPr>
          <w:b/>
          <w:bCs/>
        </w:rPr>
        <w:t xml:space="preserve">Débrief :</w:t>
      </w:r>
      <w:r>
        <w:t xml:space="preserve"> « Qu’avez-vous changé selon le destinataire ? Quelle phrase évite une assurance non fondée ? »</w:t>
      </w:r>
    </w:p>
    <w:p>
      <w:pPr>
        <w:pStyle w:val="Heading1"/>
      </w:pPr>
      <w:r>
        <w:t xml:space="preserve">B5 — Répéter le format (40 min)</w:t>
      </w:r>
    </w:p>
    <w:p>
      <w:pPr>
        <w:spacing w:after="120"/>
      </w:pPr>
      <w:r>
        <w:rPr>
          <w:b/>
          <w:bCs/>
        </w:rPr>
        <w:t xml:space="preserve">Organisation :</w:t>
      </w:r>
      <w:r>
        <w:t xml:space="preserve"> 3 min de préparation • 32 min pour quatre passages de 8 min (5 min de pitch, 2 min de question, 1 min de retour et rotation) • 5 min de bilan. Avec un groupe de trois, utiliser les 8 minutes restantes pour rejouer les ouvertures.</w:t>
      </w:r>
    </w:p>
    <w:p>
      <w:pPr>
        <w:spacing w:after="120"/>
      </w:pPr>
      <w:r>
        <w:t xml:space="preserve">Questions du décideur : « Pourquoi ne pas prendre l’autre option ? » ou « Pouvons-nous annoncer une heure certaine aux clients ? »</w:t>
      </w:r>
    </w:p>
    <w:p>
      <w:pPr>
        <w:spacing w:after="120"/>
      </w:pPr>
      <w:r>
        <w:t xml:space="preserve">Retour : une décision explicite, une comparaison honnête, une limite, une réponse directe. Utiliser la grille d’observation d’octobre (codes NO/A/P/R) sans la convertir en note.</w:t>
      </w:r>
    </w:p>
    <w:p>
      <w:pPr>
        <w:pStyle w:val="Heading1"/>
      </w:pPr>
      <w:r>
        <w:t xml:space="preserve">B6 — Préparer le contrôle (20 min)</w:t>
      </w:r>
    </w:p>
    <w:p>
      <w:pPr>
        <w:spacing w:after="120"/>
      </w:pPr>
      <w:r>
        <w:t xml:space="preserve">5 min : livrables et temps • 5 min : lecture de la grille • 5 min : chacun reformule une consigne et un critère en binôme • 5 min : questions. Présenter le format sur ORION sans dévoiler NEREIS.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A5F" w:color="auto" w:val="clear"/>
            <w:tcMar>
              <w:top w:type="dxa" w:w="60"/>
              <w:left w:type="dxa" w:w="100"/>
              <w:bottom w:type="dxa" w:w="60"/>
              <w:right w:type="dxa" w:w="100"/>
            </w:tcMar>
          </w:tcPr>
          <w:p>
            <w:pPr>
              <w:spacing w:after="40"/>
            </w:pPr>
            <w:r>
              <w:rPr>
                <w:b/>
                <w:bCs/>
                <w:color w:val="FFFFFF"/>
                <w:sz w:val="19"/>
                <w:szCs w:val="19"/>
              </w:rPr>
              <w:t xml:space="preserve">Règle annoncée</w:t>
            </w:r>
          </w:p>
        </w:tc>
        <w:tc>
          <w:tcPr>
            <w:tcW w:type="dxa" w:w="6747"/>
            <w:shd w:fill="1F3A5F" w:color="auto" w:val="clear"/>
            <w:tcMar>
              <w:top w:type="dxa" w:w="60"/>
              <w:left w:type="dxa" w:w="100"/>
              <w:bottom w:type="dxa" w:w="60"/>
              <w:right w:type="dxa" w:w="100"/>
            </w:tcMar>
          </w:tcPr>
          <w:p>
            <w:pPr>
              <w:spacing w:after="40"/>
            </w:pPr>
            <w:r>
              <w:rPr>
                <w:b/>
                <w:bCs/>
                <w:color w:val="FFFFFF"/>
                <w:sz w:val="19"/>
                <w:szCs w:val="19"/>
              </w:rPr>
              <w:t xml:space="preserve">Application</w:t>
            </w:r>
          </w:p>
        </w:tc>
      </w:tr>
      <w:tr>
        <w:tc>
          <w:tcPr>
            <w:tcW w:type="dxa" w:w="2891"/>
            <w:tcMar>
              <w:top w:type="dxa" w:w="60"/>
              <w:left w:type="dxa" w:w="100"/>
              <w:bottom w:type="dxa" w:w="60"/>
              <w:right w:type="dxa" w:w="100"/>
            </w:tcMar>
          </w:tcPr>
          <w:p>
            <w:pPr>
              <w:spacing w:after="40"/>
            </w:pPr>
            <w:r>
              <w:rPr>
                <w:sz w:val="19"/>
                <w:szCs w:val="19"/>
              </w:rPr>
              <w:t xml:space="preserve">Durée / format</w:t>
            </w:r>
          </w:p>
        </w:tc>
        <w:tc>
          <w:tcPr>
            <w:tcW w:type="dxa" w:w="6747"/>
            <w:tcMar>
              <w:top w:type="dxa" w:w="60"/>
              <w:left w:type="dxa" w:w="100"/>
              <w:bottom w:type="dxa" w:w="60"/>
              <w:right w:type="dxa" w:w="100"/>
            </w:tcMar>
          </w:tcPr>
          <w:p>
            <w:pPr>
              <w:spacing w:after="40"/>
            </w:pPr>
            <w:r>
              <w:rPr>
                <w:sz w:val="19"/>
                <w:szCs w:val="19"/>
              </w:rPr>
              <w:t xml:space="preserve">120 min ; 3 pages A4 maximum, annexes comprises ; visuel simple.</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Ressources</w:t>
            </w:r>
          </w:p>
        </w:tc>
        <w:tc>
          <w:tcPr>
            <w:tcW w:type="dxa" w:w="6747"/>
            <w:shd w:fill="E8EEF5" w:color="auto" w:val="clear"/>
            <w:tcMar>
              <w:top w:type="dxa" w:w="60"/>
              <w:left w:type="dxa" w:w="100"/>
              <w:bottom w:type="dxa" w:w="60"/>
              <w:right w:type="dxa" w:w="100"/>
            </w:tcMar>
          </w:tcPr>
          <w:p>
            <w:pPr>
              <w:spacing w:after="40"/>
            </w:pPr>
            <w:r>
              <w:rPr>
                <w:sz w:val="19"/>
                <w:szCs w:val="19"/>
              </w:rPr>
              <w:t xml:space="preserve">Sujet, aide-mémoire et grille /20 fournis ; calculatrice et traitement de texte hors ligne.</w:t>
            </w:r>
          </w:p>
        </w:tc>
      </w:tr>
      <w:tr>
        <w:tc>
          <w:tcPr>
            <w:tcW w:type="dxa" w:w="2891"/>
            <w:tcMar>
              <w:top w:type="dxa" w:w="60"/>
              <w:left w:type="dxa" w:w="100"/>
              <w:bottom w:type="dxa" w:w="60"/>
              <w:right w:type="dxa" w:w="100"/>
            </w:tcMar>
          </w:tcPr>
          <w:p>
            <w:pPr>
              <w:spacing w:after="40"/>
            </w:pPr>
            <w:r>
              <w:rPr>
                <w:sz w:val="19"/>
                <w:szCs w:val="19"/>
              </w:rPr>
              <w:t xml:space="preserve">Production individuelle</w:t>
            </w:r>
          </w:p>
        </w:tc>
        <w:tc>
          <w:tcPr>
            <w:tcW w:type="dxa" w:w="6747"/>
            <w:tcMar>
              <w:top w:type="dxa" w:w="60"/>
              <w:left w:type="dxa" w:w="100"/>
              <w:bottom w:type="dxa" w:w="60"/>
              <w:right w:type="dxa" w:w="100"/>
            </w:tcMar>
          </w:tcPr>
          <w:p>
            <w:pPr>
              <w:spacing w:after="40"/>
            </w:pPr>
            <w:r>
              <w:rPr>
                <w:sz w:val="19"/>
                <w:szCs w:val="19"/>
              </w:rPr>
              <w:t xml:space="preserve">Pas de collaboration, de recherche en ligne ni d’IA générative.</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Équité</w:t>
            </w:r>
          </w:p>
        </w:tc>
        <w:tc>
          <w:tcPr>
            <w:tcW w:type="dxa" w:w="6747"/>
            <w:shd w:fill="E8EEF5" w:color="auto" w:val="clear"/>
            <w:tcMar>
              <w:top w:type="dxa" w:w="60"/>
              <w:left w:type="dxa" w:w="100"/>
              <w:bottom w:type="dxa" w:w="60"/>
              <w:right w:type="dxa" w:w="100"/>
            </w:tcMar>
          </w:tcPr>
          <w:p>
            <w:pPr>
              <w:spacing w:after="40"/>
            </w:pPr>
            <w:r>
              <w:rPr>
                <w:sz w:val="19"/>
                <w:szCs w:val="19"/>
              </w:rPr>
              <w:t xml:space="preserve">Mêmes consignes et moyens ; aménagements EPITA ; version manuscrite équivalente si nécessaire.</w:t>
            </w:r>
          </w:p>
        </w:tc>
      </w:tr>
    </w:tbl>
    <w:p>
      <w:pPr>
        <w:spacing w:after="120"/>
      </w:pPr>
    </w:p>
    <w:p>
      <w:pPr>
        <w:pStyle w:val="Heading1"/>
      </w:pPr>
      <w:r>
        <w:t xml:space="preserve">Clôture (25 min)</w:t>
      </w:r>
    </w:p>
    <w:p>
      <w:pPr>
        <w:spacing w:after="120"/>
      </w:pPr>
      <w:r>
        <w:t xml:space="preserve">10 min : collecte et vérification des remises • 5 min : chacun note un acquis et une difficulté • 10 min : rappel du format du pitch de janvier et de ses critères. Annoncer que le dossier SELENE sera remis sept jours avant le 22 janvier.</w:t>
      </w:r>
    </w:p>
    <w:p>
      <w:pPr>
        <w:spacing w:after="120"/>
      </w:pPr>
      <w:r>
        <w:rPr>
          <w:b/>
          <w:bCs/>
        </w:rPr>
        <w:t xml:space="preserve">Participation.</w:t>
      </w:r>
      <w:r>
        <w:t xml:space="preserve"> Les traces de B1 à B5 alimentent la grille de participation (document R4).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FORMATION &amp; CONSEIL | Nizam BOURHANI · COEXCL · Guide formateur — 6 novembre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formateur — 6 novembre 2026</dc:title>
  <dc:creator>Nizam BOURHANI</dc:creator>
  <cp:lastModifiedBy>Un-named</cp:lastModifiedBy>
  <cp:revision>1</cp:revision>
  <dcterms:created xsi:type="dcterms:W3CDTF">2026-10-06T18:11:04.085Z</dcterms:created>
  <dcterms:modified xsi:type="dcterms:W3CDTF">2026-10-06T18:11:04.085Z</dcterms:modified>
</cp:coreProperties>
</file>

<file path=docProps/custom.xml><?xml version="1.0" encoding="utf-8"?>
<Properties xmlns="http://schemas.openxmlformats.org/officeDocument/2006/custom-properties" xmlns:vt="http://schemas.openxmlformats.org/officeDocument/2006/docPropsVTypes"/>
</file>