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Écrit individuel NEREIS</w:t>
      </w:r>
    </w:p>
    <w:p>
      <w:pPr>
        <w:spacing w:after="120"/>
      </w:pPr>
      <w:r>
        <w:rPr>
          <w:color w:val="444444"/>
          <w:sz w:val="24"/>
          <w:szCs w:val="24"/>
        </w:rPr>
        <w:t xml:space="preserve">Rapport exécutif — 6 novembre 2026, 14 h 35–16 h 35 — 120 minutes</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FDE2E2" w:color="auto" w:val="clear"/>
        <w:spacing w:after="200"/>
      </w:pPr>
      <w:r>
        <w:rPr>
          <w:b/>
          <w:bCs/>
          <w:sz w:val="19"/>
          <w:szCs w:val="19"/>
        </w:rPr>
        <w:t xml:space="preserve">RÉSERVÉ FORMATEUR ET REVUE PÉDAGOGIQUE — ne pas diffuser aux étudiants</w:t>
      </w:r>
    </w:p>
    <w:p>
      <w:pPr>
        <w:pStyle w:val="Heading1"/>
      </w:pPr>
      <w:r>
        <w:t xml:space="preserve">Partie A — Sujet à distribuer au début de l’épreuve</w:t>
      </w:r>
    </w:p>
    <w:p>
      <w:pPr>
        <w:pStyle w:val="Heading2"/>
      </w:pPr>
      <w:r>
        <w:t xml:space="preserve">Le dossier NEREIS (cas fictif)</w:t>
      </w:r>
    </w:p>
    <w:p>
      <w:pPr>
        <w:spacing w:after="120"/>
      </w:pPr>
      <w:r>
        <w:t xml:space="preserve">Il est 10 h. NEREIS dispose d’un portail de documents et commandes utilisé par 200 clients professionnels. Un contrôle a identifié deux documents commerciaux incorrects parmi les vingt documents examinés. Le périmètre complet et la cause ne sont pas encore établis. Le portail reste accessible ; les deux documents identifiés ont été retirés. Aucun vol de données n’est établi.</w:t>
      </w:r>
    </w:p>
    <w:p>
      <w:pPr>
        <w:spacing w:after="120"/>
      </w:pPr>
      <w:r>
        <w:t xml:space="preserve">La directrice des opérations dispose d’une enveloppe de 3 000 € pour les prestations externes de cet incident. L’équipe technique confirme deux options réalisables avec les mêmes contrôles de cohérence. Trois commandes urgentes doivent être prises en charge avant 14 h. Le téléphone habituel permet un traitement manuel de ces commandes dans les deux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A</w:t>
            </w:r>
          </w:p>
        </w:tc>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B</w:t>
            </w:r>
          </w:p>
        </w:tc>
      </w:tr>
      <w:tr>
        <w:tc>
          <w:tcPr>
            <w:tcW w:type="dxa" w:w="4819"/>
            <w:tcMar>
              <w:top w:type="dxa" w:w="60"/>
              <w:left w:type="dxa" w:w="100"/>
              <w:bottom w:type="dxa" w:w="60"/>
              <w:right w:type="dxa" w:w="100"/>
            </w:tcMar>
          </w:tcPr>
          <w:p>
            <w:pPr>
              <w:spacing w:after="40"/>
            </w:pPr>
            <w:r>
              <w:rPr>
                <w:sz w:val="19"/>
                <w:szCs w:val="19"/>
              </w:rPr>
              <w:t xml:space="preserve">Fermer entièrement le portail pendant une restauration et des vérifications ; réouverture estimée 2 h après accord.</w:t>
            </w:r>
          </w:p>
        </w:tc>
        <w:tc>
          <w:tcPr>
            <w:tcW w:type="dxa" w:w="4819"/>
            <w:tcMar>
              <w:top w:type="dxa" w:w="60"/>
              <w:left w:type="dxa" w:w="100"/>
              <w:bottom w:type="dxa" w:w="60"/>
              <w:right w:type="dxa" w:w="100"/>
            </w:tcMar>
          </w:tcPr>
          <w:p>
            <w:pPr>
              <w:spacing w:after="40"/>
            </w:pPr>
            <w:r>
              <w:rPr>
                <w:sz w:val="19"/>
                <w:szCs w:val="19"/>
              </w:rPr>
              <w:t xml:space="preserve">Maintenir le portail en lecture seule pendant 24 h ; documents et commandes traités manuellement pendant ce délai.</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Prestation externe globale : 2 300 €. Travail interne de rapprochement : 3 heures-personnes.</w:t>
            </w:r>
          </w:p>
        </w:tc>
        <w:tc>
          <w:tcPr>
            <w:tcW w:type="dxa" w:w="4819"/>
            <w:shd w:fill="E8EEF5" w:color="auto" w:val="clear"/>
            <w:tcMar>
              <w:top w:type="dxa" w:w="60"/>
              <w:left w:type="dxa" w:w="100"/>
              <w:bottom w:type="dxa" w:w="60"/>
              <w:right w:type="dxa" w:w="100"/>
            </w:tcMar>
          </w:tcPr>
          <w:p>
            <w:pPr>
              <w:spacing w:after="40"/>
            </w:pPr>
            <w:r>
              <w:rPr>
                <w:sz w:val="19"/>
                <w:szCs w:val="19"/>
              </w:rPr>
              <w:t xml:space="preserve">Mise en lecture seule : 900 € ; restauration et vérifications le lendemain : 1 700 € supplémentaires, à inclure dans l’accord. Travail interne : 8 heures-personnes.</w:t>
            </w:r>
          </w:p>
        </w:tc>
      </w:tr>
      <w:tr>
        <w:tc>
          <w:tcPr>
            <w:tcW w:type="dxa" w:w="4819"/>
            <w:tcMar>
              <w:top w:type="dxa" w:w="60"/>
              <w:left w:type="dxa" w:w="100"/>
              <w:bottom w:type="dxa" w:w="60"/>
              <w:right w:type="dxa" w:w="100"/>
            </w:tcMar>
          </w:tcPr>
          <w:p>
            <w:pPr>
              <w:spacing w:after="40"/>
            </w:pPr>
            <w:r>
              <w:rPr>
                <w:sz w:val="19"/>
                <w:szCs w:val="19"/>
              </w:rPr>
              <w:t xml:space="preserve">Consultation et saisie indisponibles pendant l’arrêt ; reprise ensuite sous réserve des contrôles.</w:t>
            </w:r>
          </w:p>
        </w:tc>
        <w:tc>
          <w:tcPr>
            <w:tcW w:type="dxa" w:w="4819"/>
            <w:tcMar>
              <w:top w:type="dxa" w:w="60"/>
              <w:left w:type="dxa" w:w="100"/>
              <w:bottom w:type="dxa" w:w="60"/>
              <w:right w:type="dxa" w:w="100"/>
            </w:tcMar>
          </w:tcPr>
          <w:p>
            <w:pPr>
              <w:spacing w:after="40"/>
            </w:pPr>
            <w:r>
              <w:rPr>
                <w:sz w:val="19"/>
                <w:szCs w:val="19"/>
              </w:rPr>
              <w:t xml:space="preserve">Les clients peuvent consulter les documents restants, mais le périmètre des documents incorrects n’est pas encore établi. Aucune nouvelle saisie sur le portail.</w:t>
            </w:r>
          </w:p>
        </w:tc>
      </w:tr>
    </w:tbl>
    <w:p>
      <w:pPr>
        <w:spacing w:after="120"/>
      </w:pPr>
    </w:p>
    <w:p>
      <w:pPr>
        <w:spacing w:after="120"/>
      </w:pPr>
      <w:r>
        <w:t xml:space="preserve">Huit heures de travail interne sont disponibles aujourd’hui. Le coût du temps interne et les pertes liées à l’incident ne sont pas chiffrés. Les charges annoncées incluent le traitement manuel des trois commandes urgentes. Les délais restent estimatifs. Aucune option ne garantit l’explication complète de la cause ni l’absence d’erreurs résiduelles.</w:t>
      </w:r>
    </w:p>
    <w:p>
      <w:pPr>
        <w:spacing w:after="120"/>
      </w:pPr>
      <w:r>
        <w:t xml:space="preserve">Un point d’avancement interne et client est prévu à 12 h, même si la résolution n’est pas achevée. Il n’existe pas de date ferme de réouverture validée pour la communication externe. Aucun autre fait ne doit être supposé acquis.</w:t>
      </w:r>
    </w:p>
    <w:p>
      <w:pPr>
        <w:pStyle w:val="Heading2"/>
      </w:pPr>
      <w:r>
        <w:t xml:space="preserve">Votre mission</w:t>
      </w:r>
    </w:p>
    <w:p>
      <w:pPr>
        <w:spacing w:after="120"/>
      </w:pPr>
      <w:r>
        <w:t xml:space="preserve">Aider la directrice des opérations à choisir A ou B. Rendez les trois parties ci-dessous dans un seul document de </w:t>
      </w:r>
      <w:r>
        <w:rPr>
          <w:b/>
          <w:bCs/>
        </w:rPr>
        <w:t xml:space="preserve">3 pages A4 maximum</w:t>
      </w:r>
      <w:r>
        <w:t xml:space="preserve">. Utilisez uniquement les données du cas ; si une information manque, signalez-le.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A5F" w:color="auto" w:val="clear"/>
            <w:tcMar>
              <w:top w:type="dxa" w:w="60"/>
              <w:left w:type="dxa" w:w="100"/>
              <w:bottom w:type="dxa" w:w="60"/>
              <w:right w:type="dxa" w:w="100"/>
            </w:tcMar>
          </w:tcPr>
          <w:p>
            <w:pPr>
              <w:spacing w:after="40"/>
            </w:pPr>
            <w:r>
              <w:rPr>
                <w:b/>
                <w:bCs/>
                <w:color w:val="FFFFFF"/>
                <w:sz w:val="19"/>
                <w:szCs w:val="19"/>
              </w:rPr>
              <w:t xml:space="preserve">Partie</w:t>
            </w:r>
          </w:p>
        </w:tc>
        <w:tc>
          <w:tcPr>
            <w:tcW w:type="dxa" w:w="7325"/>
            <w:shd w:fill="1F3A5F" w:color="auto" w:val="clear"/>
            <w:tcMar>
              <w:top w:type="dxa" w:w="60"/>
              <w:left w:type="dxa" w:w="100"/>
              <w:bottom w:type="dxa" w:w="60"/>
              <w:right w:type="dxa" w:w="100"/>
            </w:tcMar>
          </w:tcPr>
          <w:p>
            <w:pPr>
              <w:spacing w:after="40"/>
            </w:pPr>
            <w:r>
              <w:rPr>
                <w:b/>
                <w:bCs/>
                <w:color w:val="FFFFFF"/>
                <w:sz w:val="19"/>
                <w:szCs w:val="19"/>
              </w:rPr>
              <w:t xml:space="preserve">Ce que vous devez écrire</w:t>
            </w:r>
          </w:p>
        </w:tc>
      </w:tr>
      <w:tr>
        <w:tc>
          <w:tcPr>
            <w:tcW w:type="dxa" w:w="2313"/>
            <w:tcMar>
              <w:top w:type="dxa" w:w="60"/>
              <w:left w:type="dxa" w:w="100"/>
              <w:bottom w:type="dxa" w:w="60"/>
              <w:right w:type="dxa" w:w="100"/>
            </w:tcMar>
          </w:tcPr>
          <w:p>
            <w:pPr>
              <w:spacing w:after="40"/>
            </w:pPr>
            <w:r>
              <w:rPr>
                <w:sz w:val="19"/>
                <w:szCs w:val="19"/>
              </w:rPr>
              <w:t xml:space="preserve">1 — Note Flash</w:t>
            </w:r>
          </w:p>
        </w:tc>
        <w:tc>
          <w:tcPr>
            <w:tcW w:type="dxa" w:w="7325"/>
            <w:tcMar>
              <w:top w:type="dxa" w:w="60"/>
              <w:left w:type="dxa" w:w="100"/>
              <w:bottom w:type="dxa" w:w="60"/>
              <w:right w:type="dxa" w:w="100"/>
            </w:tcMar>
          </w:tcPr>
          <w:p>
            <w:pPr>
              <w:spacing w:after="40"/>
            </w:pPr>
            <w:r>
              <w:rPr>
                <w:sz w:val="19"/>
                <w:szCs w:val="19"/>
              </w:rPr>
              <w:t xml:space="preserve">Une page maximum. Commencez par la décision demandée. Expliquez ensuite le problème, votre choix, les moyens nécessaires, les limites et la prochaine étape.</w:t>
            </w:r>
          </w:p>
        </w:tc>
      </w:tr>
      <w:tr>
        <w:tc>
          <w:tcPr>
            <w:tcW w:type="dxa" w:w="2313"/>
            <w:shd w:fill="E8EEF5" w:color="auto" w:val="clear"/>
            <w:tcMar>
              <w:top w:type="dxa" w:w="60"/>
              <w:left w:type="dxa" w:w="100"/>
              <w:bottom w:type="dxa" w:w="60"/>
              <w:right w:type="dxa" w:w="100"/>
            </w:tcMar>
          </w:tcPr>
          <w:p>
            <w:pPr>
              <w:spacing w:after="40"/>
            </w:pPr>
            <w:r>
              <w:rPr>
                <w:sz w:val="19"/>
                <w:szCs w:val="19"/>
              </w:rPr>
              <w:t xml:space="preserve">2 — Comparaison</w:t>
            </w:r>
          </w:p>
        </w:tc>
        <w:tc>
          <w:tcPr>
            <w:tcW w:type="dxa" w:w="7325"/>
            <w:shd w:fill="E8EEF5" w:color="auto" w:val="clear"/>
            <w:tcMar>
              <w:top w:type="dxa" w:w="60"/>
              <w:left w:type="dxa" w:w="100"/>
              <w:bottom w:type="dxa" w:w="60"/>
              <w:right w:type="dxa" w:w="100"/>
            </w:tcMar>
          </w:tcPr>
          <w:p>
            <w:pPr>
              <w:spacing w:after="40"/>
            </w:pPr>
            <w:r>
              <w:rPr>
                <w:sz w:val="19"/>
                <w:szCs w:val="19"/>
              </w:rPr>
              <w:t xml:space="preserve">Un tableau ou un visuel comparant A et B : coût externe complet, délai, temps de travail interne, effets sur l’activité et limites. Donnez deux raisons de votre choix et un avantage de l’autre option.</w:t>
            </w:r>
          </w:p>
        </w:tc>
      </w:tr>
      <w:tr>
        <w:tc>
          <w:tcPr>
            <w:tcW w:type="dxa" w:w="2313"/>
            <w:tcMar>
              <w:top w:type="dxa" w:w="60"/>
              <w:left w:type="dxa" w:w="100"/>
              <w:bottom w:type="dxa" w:w="60"/>
              <w:right w:type="dxa" w:w="100"/>
            </w:tcMar>
          </w:tcPr>
          <w:p>
            <w:pPr>
              <w:spacing w:after="40"/>
            </w:pPr>
            <w:r>
              <w:rPr>
                <w:sz w:val="19"/>
                <w:szCs w:val="19"/>
              </w:rPr>
              <w:t xml:space="preserve">3 — Messages</w:t>
            </w:r>
          </w:p>
        </w:tc>
        <w:tc>
          <w:tcPr>
            <w:tcW w:type="dxa" w:w="7325"/>
            <w:tcMar>
              <w:top w:type="dxa" w:w="60"/>
              <w:left w:type="dxa" w:w="100"/>
              <w:bottom w:type="dxa" w:w="60"/>
              <w:right w:type="dxa" w:w="100"/>
            </w:tcMar>
          </w:tcPr>
          <w:p>
            <w:pPr>
              <w:spacing w:after="40"/>
            </w:pPr>
            <w:r>
              <w:rPr>
                <w:sz w:val="19"/>
                <w:szCs w:val="19"/>
              </w:rPr>
              <w:t xml:space="preserve">Deux textes de 60 à 80 mots : un pour les équipes internes, un pour les clients. Rédigez-les comme les projets qui seraient diffusés si votre recommandation est acceptée. Ajoutez deux informations manquantes à vérifier et expliquez pourquoi elles sont utiles.</w:t>
            </w:r>
          </w:p>
        </w:tc>
      </w:tr>
    </w:tbl>
    <w:p>
      <w:pPr>
        <w:spacing w:after="120"/>
      </w:pPr>
    </w:p>
    <w:p>
      <w:pPr>
        <w:spacing w:after="120"/>
      </w:pPr>
      <w:r>
        <w:t xml:space="preserve">Organisation indicative : 15 min de lecture et plan • 35 min de Note Flash • 25 min de comparaison • 25 min de messages • 20 min de relecture. Vous gérez librement votre temps.</w:t>
      </w:r>
    </w:p>
    <w:p>
      <w:pPr>
        <w:spacing w:after="120"/>
      </w:pPr>
      <w:r>
        <w:rPr>
          <w:b/>
          <w:bCs/>
        </w:rPr>
        <w:t xml:space="preserve">Autorisé :</w:t>
      </w:r>
      <w:r>
        <w:t xml:space="preserve"> ce sujet, l’aide-mémoire, la grille, une calculatrice, un traitement de texte hors ligne. </w:t>
      </w:r>
      <w:r>
        <w:rPr>
          <w:b/>
          <w:bCs/>
        </w:rPr>
        <w:t xml:space="preserve">Non autorisé :</w:t>
      </w:r>
      <w:r>
        <w:t xml:space="preserve"> collaboration, recherche en ligne, IA générative.</w:t>
      </w:r>
    </w:p>
    <w:p>
      <w:pPr>
        <w:spacing w:after="120"/>
      </w:pPr>
      <w:r>
        <w:rPr>
          <w:b/>
          <w:bCs/>
        </w:rPr>
        <w:t xml:space="preserve">Avant de remettre :</w:t>
      </w:r>
      <w:r>
        <w:t xml:space="preserve"> la décision est claire • les chiffres sont exacts • les deux options sont comparées • les deux messages sont présents • les informations manquantes sont signalées. Les lettres SCQA ne sont pas obligatoires. A ou B : vous devez justifier votre choix.</w:t>
      </w:r>
    </w:p>
    <w:p>
      <w:r>
        <w:br w:type="page"/>
      </w:r>
    </w:p>
    <w:p>
      <w:pPr>
        <w:pStyle w:val="Heading1"/>
      </w:pPr>
      <w:r>
        <w:t xml:space="preserve">Partie B — Corrigé (ne pas diffuser)</w:t>
      </w:r>
    </w:p>
    <w:p>
      <w:pPr>
        <w:pStyle w:val="Heading2"/>
      </w:pPr>
      <w:r>
        <w:t xml:space="preserve">Calculs et faits attendus</w:t>
      </w:r>
    </w:p>
    <w:p>
      <w:pPr>
        <w:pStyle w:val="ListParagraph"/>
        <w:numPr>
          <w:ilvl w:val="0"/>
          <w:numId w:val="2"/>
        </w:numPr>
        <w:spacing w:after="60"/>
      </w:pPr>
      <w:r>
        <w:t xml:space="preserve">A : 2 300 € externes, réouverture estimée 2 h après accord, 3 heures-personnes internes.</w:t>
      </w:r>
    </w:p>
    <w:p>
      <w:pPr>
        <w:pStyle w:val="ListParagraph"/>
        <w:numPr>
          <w:ilvl w:val="0"/>
          <w:numId w:val="2"/>
        </w:numPr>
        <w:spacing w:after="60"/>
      </w:pPr>
      <w:r>
        <w:t xml:space="preserve">B : 900 + 1 700 = </w:t>
      </w:r>
      <w:r>
        <w:rPr>
          <w:b/>
          <w:bCs/>
        </w:rPr>
        <w:t xml:space="preserve">2 600 €</w:t>
      </w:r>
      <w:r>
        <w:t xml:space="preserve"> externes, 24 h en lecture seule, 8 heures-personnes internes (soit toute la capacité disponible).</w:t>
      </w:r>
    </w:p>
    <w:p>
      <w:pPr>
        <w:pStyle w:val="ListParagraph"/>
        <w:numPr>
          <w:ilvl w:val="0"/>
          <w:numId w:val="2"/>
        </w:numPr>
        <w:spacing w:after="60"/>
      </w:pPr>
      <w:r>
        <w:t xml:space="preserve">Les deux options respectent l’enveloppe de 3 000 €. L’écart externe est de 300 € : ce n’est pas l’écart de coût total.</w:t>
      </w:r>
    </w:p>
    <w:p>
      <w:pPr>
        <w:pStyle w:val="ListParagraph"/>
        <w:numPr>
          <w:ilvl w:val="0"/>
          <w:numId w:val="2"/>
        </w:numPr>
        <w:spacing w:after="60"/>
      </w:pPr>
      <w:r>
        <w:t xml:space="preserve">Deux documents incorrects sur vingt contrôlés ne prouvent pas que 10 % des documents du portail sont incorrects.</w:t>
      </w:r>
    </w:p>
    <w:p>
      <w:pPr>
        <w:pStyle w:val="Heading2"/>
      </w:pPr>
      <w:r>
        <w:t xml:space="preserve">Recommandation A — exemple</w:t>
      </w:r>
    </w:p>
    <w:p>
      <w:pPr>
        <w:pBdr>
          <w:left w:val="single" w:color="1F3A5F" w:sz="12" w:space="8"/>
        </w:pBdr>
        <w:spacing w:after="120"/>
        <w:ind w:left="400"/>
      </w:pPr>
      <w:r>
        <w:rPr>
          <w:i/>
          <w:iCs/>
        </w:rPr>
        <w:t xml:space="preserve">« Je recommande d’autoriser la fermeture temporaire du portail pour la restauration et les vérifications, pour 2 300 € de prestations externes. La reprise est estimée deux heures après accord, sans garantie de délai ferme. Cette option limite la consultation de documents potentiellement incorrects pendant l’intervention et mobilise trois heures internes. Les trois commandes urgentes seront traitées par téléphone. Je demande l’accord sur la prestation, l’arrêt et la mobilisation interne, avec un point à 12 h. »</w:t>
      </w:r>
    </w:p>
    <w:p>
      <w:pPr>
        <w:pStyle w:val="Heading2"/>
      </w:pPr>
      <w:r>
        <w:t xml:space="preserve">Quand B est recevable</w:t>
      </w:r>
    </w:p>
    <w:p>
      <w:pPr>
        <w:spacing w:after="120"/>
      </w:pPr>
      <w:r>
        <w:t xml:space="preserve">B peut être défendue si le candidat privilégie la continuité de consultation, reconnaît le risque des documents restants, engage les 2 600 € complets et organise les huit heures internes. Une mesure complémentaire (par exemple un avertissement invitant à vérifier les documents) peut être proposée, comme proposition et non comme fait acquis. B ne vaut pas automatiquement moins de points.</w:t>
      </w:r>
    </w:p>
    <w:p>
      <w:pPr>
        <w:pStyle w:val="Heading2"/>
      </w:pPr>
      <w:r>
        <w:t xml:space="preserve">Messages attendus</w:t>
      </w:r>
    </w:p>
    <w:p>
      <w:pPr>
        <w:spacing w:after="120"/>
      </w:pPr>
      <w:r>
        <w:t xml:space="preserve">Interne : situation, option retenue (sous réserve d’accord), consigne de traitement des commandes, point à 12 h ; éviter que l’équipe transmette des assurances non vérifiées. Clients : gêne concrète, canal téléphonique, investigation en cours, prochain point. Pas de coût interne ni de détail technique superflu ; faits conformes à l’option recommandée.</w:t>
      </w:r>
    </w:p>
    <w:p>
      <w:pPr>
        <w:pStyle w:val="Heading2"/>
      </w:pPr>
      <w:r>
        <w:t xml:space="preserve">Inconnues utiles</w:t>
      </w:r>
    </w:p>
    <w:p>
      <w:pPr>
        <w:spacing w:after="120"/>
      </w:pPr>
      <w:r>
        <w:t xml:space="preserve">Périmètre des documents concernés ; cause ; résultats des contrôles ; coût de l’impact métier. Le candidat indique comment chacune peut modifier la décision ou la communication. Ni cause cyber certaine, ni absence certaine de vol, ni heure ferme de retour ne peuvent être déduites.</w:t>
      </w:r>
    </w:p>
    <w:p>
      <w:pPr>
        <w:pStyle w:val="Heading2"/>
      </w:pPr>
      <w:r>
        <w:t xml:space="preserve">Signaux d’alerte</w:t>
      </w:r>
    </w:p>
    <w:p>
      <w:pPr>
        <w:spacing w:after="120"/>
      </w:pPr>
      <w:r>
        <w:t xml:space="preserve">Présenter B comme une solution à 900 € ; extrapoler les vingt documents à tout le portail ; garantir une reprise ou l’intégrité ; oublier les commandes urgentes. Chaque erreur est rattachée au critère concerné, sans sanction globale supplémentaire.</w:t>
      </w:r>
    </w:p>
    <w:p>
      <w:pPr>
        <w:pStyle w:val="Heading1"/>
      </w:pPr>
      <w:r>
        <w:t xml:space="preserve">Partie C — Grille de notation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771"/>
        <w:gridCol w:w="5783"/>
      </w:tblGrid>
      <w:tr>
        <w:trPr>
          <w:tblHeader/>
        </w:trPr>
        <w:tc>
          <w:tcPr>
            <w:tcW w:type="dxa" w:w="3084"/>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771"/>
            <w:shd w:fill="1F3A5F" w:color="auto" w:val="clear"/>
            <w:tcMar>
              <w:top w:type="dxa" w:w="60"/>
              <w:left w:type="dxa" w:w="100"/>
              <w:bottom w:type="dxa" w:w="60"/>
              <w:right w:type="dxa" w:w="100"/>
            </w:tcMar>
          </w:tcPr>
          <w:p>
            <w:pPr>
              <w:spacing w:after="40"/>
            </w:pPr>
            <w:r>
              <w:rPr>
                <w:b/>
                <w:bCs/>
                <w:color w:val="FFFFFF"/>
                <w:sz w:val="19"/>
                <w:szCs w:val="19"/>
              </w:rPr>
              <w:t xml:space="preserve">Max.</w:t>
            </w:r>
          </w:p>
        </w:tc>
        <w:tc>
          <w:tcPr>
            <w:tcW w:type="dxa" w:w="5783"/>
            <w:shd w:fill="1F3A5F" w:color="auto" w:val="clear"/>
            <w:tcMar>
              <w:top w:type="dxa" w:w="60"/>
              <w:left w:type="dxa" w:w="100"/>
              <w:bottom w:type="dxa" w:w="60"/>
              <w:right w:type="dxa" w:w="100"/>
            </w:tcMar>
          </w:tcPr>
          <w:p>
            <w:pPr>
              <w:spacing w:after="40"/>
            </w:pPr>
            <w:r>
              <w:rPr>
                <w:b/>
                <w:bCs/>
                <w:color w:val="FFFFFF"/>
                <w:sz w:val="19"/>
                <w:szCs w:val="19"/>
              </w:rPr>
              <w:t xml:space="preserve">Preuve attendue au niveau 4</w:t>
            </w:r>
          </w:p>
        </w:tc>
      </w:tr>
      <w:tr>
        <w:tc>
          <w:tcPr>
            <w:tcW w:type="dxa" w:w="3084"/>
            <w:tcMar>
              <w:top w:type="dxa" w:w="60"/>
              <w:left w:type="dxa" w:w="100"/>
              <w:bottom w:type="dxa" w:w="60"/>
              <w:right w:type="dxa" w:w="100"/>
            </w:tcMar>
          </w:tcPr>
          <w:p>
            <w:pPr>
              <w:spacing w:after="40"/>
            </w:pPr>
            <w:r>
              <w:rPr>
                <w:sz w:val="19"/>
                <w:szCs w:val="19"/>
              </w:rPr>
              <w:t xml:space="preserve">Décision et Note Flash</w:t>
            </w:r>
          </w:p>
        </w:tc>
        <w:tc>
          <w:tcPr>
            <w:tcW w:type="dxa" w:w="771"/>
            <w:tcMar>
              <w:top w:type="dxa" w:w="60"/>
              <w:left w:type="dxa" w:w="100"/>
              <w:bottom w:type="dxa" w:w="60"/>
              <w:right w:type="dxa" w:w="100"/>
            </w:tcMar>
          </w:tcPr>
          <w:p>
            <w:pPr>
              <w:spacing w:after="40"/>
            </w:pPr>
            <w:r>
              <w:rPr>
                <w:sz w:val="19"/>
                <w:szCs w:val="19"/>
              </w:rPr>
              <w:t xml:space="preserve">4</w:t>
            </w:r>
          </w:p>
        </w:tc>
        <w:tc>
          <w:tcPr>
            <w:tcW w:type="dxa" w:w="5783"/>
            <w:tcMar>
              <w:top w:type="dxa" w:w="60"/>
              <w:left w:type="dxa" w:w="100"/>
              <w:bottom w:type="dxa" w:w="60"/>
              <w:right w:type="dxa" w:w="100"/>
            </w:tcMar>
          </w:tcPr>
          <w:p>
            <w:pPr>
              <w:spacing w:after="40"/>
            </w:pPr>
            <w:r>
              <w:rPr>
                <w:sz w:val="19"/>
                <w:szCs w:val="19"/>
              </w:rPr>
              <w:t xml:space="preserve">Accord demandé en tête ; recommandation, moyens et prochain point explicites.</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Arbitrage métier</w:t>
            </w:r>
          </w:p>
        </w:tc>
        <w:tc>
          <w:tcPr>
            <w:tcW w:type="dxa" w:w="771"/>
            <w:shd w:fill="E8EEF5" w:color="auto" w:val="clear"/>
            <w:tcMar>
              <w:top w:type="dxa" w:w="60"/>
              <w:left w:type="dxa" w:w="100"/>
              <w:bottom w:type="dxa" w:w="60"/>
              <w:right w:type="dxa" w:w="100"/>
            </w:tcMar>
          </w:tcPr>
          <w:p>
            <w:pPr>
              <w:spacing w:after="40"/>
            </w:pPr>
            <w:r>
              <w:rPr>
                <w:sz w:val="19"/>
                <w:szCs w:val="19"/>
              </w:rPr>
              <w:t xml:space="preserve">4</w:t>
            </w:r>
          </w:p>
        </w:tc>
        <w:tc>
          <w:tcPr>
            <w:tcW w:type="dxa" w:w="5783"/>
            <w:shd w:fill="E8EEF5" w:color="auto" w:val="clear"/>
            <w:tcMar>
              <w:top w:type="dxa" w:w="60"/>
              <w:left w:type="dxa" w:w="100"/>
              <w:bottom w:type="dxa" w:w="60"/>
              <w:right w:type="dxa" w:w="100"/>
            </w:tcMar>
          </w:tcPr>
          <w:p>
            <w:pPr>
              <w:spacing w:after="40"/>
            </w:pPr>
            <w:r>
              <w:rPr>
                <w:sz w:val="19"/>
                <w:szCs w:val="19"/>
              </w:rPr>
              <w:t xml:space="preserve">Options comparées, deux raisons utiles, avantage de l’autre option et contrainte urgente pris en compte.</w:t>
            </w:r>
          </w:p>
        </w:tc>
      </w:tr>
      <w:tr>
        <w:tc>
          <w:tcPr>
            <w:tcW w:type="dxa" w:w="3084"/>
            <w:tcMar>
              <w:top w:type="dxa" w:w="60"/>
              <w:left w:type="dxa" w:w="100"/>
              <w:bottom w:type="dxa" w:w="60"/>
              <w:right w:type="dxa" w:w="100"/>
            </w:tcMar>
          </w:tcPr>
          <w:p>
            <w:pPr>
              <w:spacing w:after="40"/>
            </w:pPr>
            <w:r>
              <w:rPr>
                <w:sz w:val="19"/>
                <w:szCs w:val="19"/>
              </w:rPr>
              <w:t xml:space="preserve">Fiabilité</w:t>
            </w:r>
          </w:p>
        </w:tc>
        <w:tc>
          <w:tcPr>
            <w:tcW w:type="dxa" w:w="771"/>
            <w:tcMar>
              <w:top w:type="dxa" w:w="60"/>
              <w:left w:type="dxa" w:w="100"/>
              <w:bottom w:type="dxa" w:w="60"/>
              <w:right w:type="dxa" w:w="100"/>
            </w:tcMar>
          </w:tcPr>
          <w:p>
            <w:pPr>
              <w:spacing w:after="40"/>
            </w:pPr>
            <w:r>
              <w:rPr>
                <w:sz w:val="19"/>
                <w:szCs w:val="19"/>
              </w:rPr>
              <w:t xml:space="preserve">4</w:t>
            </w:r>
          </w:p>
        </w:tc>
        <w:tc>
          <w:tcPr>
            <w:tcW w:type="dxa" w:w="5783"/>
            <w:tcMar>
              <w:top w:type="dxa" w:w="60"/>
              <w:left w:type="dxa" w:w="100"/>
              <w:bottom w:type="dxa" w:w="60"/>
              <w:right w:type="dxa" w:w="100"/>
            </w:tcMar>
          </w:tcPr>
          <w:p>
            <w:pPr>
              <w:spacing w:after="40"/>
            </w:pPr>
            <w:r>
              <w:rPr>
                <w:sz w:val="19"/>
                <w:szCs w:val="19"/>
              </w:rPr>
              <w:t xml:space="preserve">Faits, calculs, périmètre et incertitudes exacts ; aucune garantie inventée.</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Adaptation des messages</w:t>
            </w:r>
          </w:p>
        </w:tc>
        <w:tc>
          <w:tcPr>
            <w:tcW w:type="dxa" w:w="771"/>
            <w:shd w:fill="E8EEF5" w:color="auto" w:val="clear"/>
            <w:tcMar>
              <w:top w:type="dxa" w:w="60"/>
              <w:left w:type="dxa" w:w="100"/>
              <w:bottom w:type="dxa" w:w="60"/>
              <w:right w:type="dxa" w:w="100"/>
            </w:tcMar>
          </w:tcPr>
          <w:p>
            <w:pPr>
              <w:spacing w:after="40"/>
            </w:pPr>
            <w:r>
              <w:rPr>
                <w:sz w:val="19"/>
                <w:szCs w:val="19"/>
              </w:rPr>
              <w:t xml:space="preserve">3</w:t>
            </w:r>
          </w:p>
        </w:tc>
        <w:tc>
          <w:tcPr>
            <w:tcW w:type="dxa" w:w="5783"/>
            <w:shd w:fill="E8EEF5" w:color="auto" w:val="clear"/>
            <w:tcMar>
              <w:top w:type="dxa" w:w="60"/>
              <w:left w:type="dxa" w:w="100"/>
              <w:bottom w:type="dxa" w:w="60"/>
              <w:right w:type="dxa" w:w="100"/>
            </w:tcMar>
          </w:tcPr>
          <w:p>
            <w:pPr>
              <w:spacing w:after="40"/>
            </w:pPr>
            <w:r>
              <w:rPr>
                <w:sz w:val="19"/>
                <w:szCs w:val="19"/>
              </w:rPr>
              <w:t xml:space="preserve">Interne et clients cohérents mais adaptés ; consignes, limites et prochain point utiles au destinataire.</w:t>
            </w:r>
          </w:p>
        </w:tc>
      </w:tr>
      <w:tr>
        <w:tc>
          <w:tcPr>
            <w:tcW w:type="dxa" w:w="3084"/>
            <w:tcMar>
              <w:top w:type="dxa" w:w="60"/>
              <w:left w:type="dxa" w:w="100"/>
              <w:bottom w:type="dxa" w:w="60"/>
              <w:right w:type="dxa" w:w="100"/>
            </w:tcMar>
          </w:tcPr>
          <w:p>
            <w:pPr>
              <w:spacing w:after="40"/>
            </w:pPr>
            <w:r>
              <w:rPr>
                <w:sz w:val="19"/>
                <w:szCs w:val="19"/>
              </w:rPr>
              <w:t xml:space="preserve">Visuel décisionnel</w:t>
            </w:r>
          </w:p>
        </w:tc>
        <w:tc>
          <w:tcPr>
            <w:tcW w:type="dxa" w:w="771"/>
            <w:tcMar>
              <w:top w:type="dxa" w:w="60"/>
              <w:left w:type="dxa" w:w="100"/>
              <w:bottom w:type="dxa" w:w="60"/>
              <w:right w:type="dxa" w:w="100"/>
            </w:tcMar>
          </w:tcPr>
          <w:p>
            <w:pPr>
              <w:spacing w:after="40"/>
            </w:pPr>
            <w:r>
              <w:rPr>
                <w:sz w:val="19"/>
                <w:szCs w:val="19"/>
              </w:rPr>
              <w:t xml:space="preserve">3</w:t>
            </w:r>
          </w:p>
        </w:tc>
        <w:tc>
          <w:tcPr>
            <w:tcW w:type="dxa" w:w="5783"/>
            <w:tcMar>
              <w:top w:type="dxa" w:w="60"/>
              <w:left w:type="dxa" w:w="100"/>
              <w:bottom w:type="dxa" w:w="60"/>
              <w:right w:type="dxa" w:w="100"/>
            </w:tcMar>
          </w:tcPr>
          <w:p>
            <w:pPr>
              <w:spacing w:after="40"/>
            </w:pPr>
            <w:r>
              <w:rPr>
                <w:sz w:val="19"/>
                <w:szCs w:val="19"/>
              </w:rPr>
              <w:t xml:space="preserve">Unités et périmètre explicites ; comparaison honnête, lisible et utile au choix.</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Clarté et concision</w:t>
            </w:r>
          </w:p>
        </w:tc>
        <w:tc>
          <w:tcPr>
            <w:tcW w:type="dxa" w:w="771"/>
            <w:shd w:fill="E8EEF5" w:color="auto" w:val="clear"/>
            <w:tcMar>
              <w:top w:type="dxa" w:w="60"/>
              <w:left w:type="dxa" w:w="100"/>
              <w:bottom w:type="dxa" w:w="60"/>
              <w:right w:type="dxa" w:w="100"/>
            </w:tcMar>
          </w:tcPr>
          <w:p>
            <w:pPr>
              <w:spacing w:after="40"/>
            </w:pPr>
            <w:r>
              <w:rPr>
                <w:sz w:val="19"/>
                <w:szCs w:val="19"/>
              </w:rPr>
              <w:t xml:space="preserve">2</w:t>
            </w:r>
          </w:p>
        </w:tc>
        <w:tc>
          <w:tcPr>
            <w:tcW w:type="dxa" w:w="5783"/>
            <w:shd w:fill="E8EEF5" w:color="auto" w:val="clear"/>
            <w:tcMar>
              <w:top w:type="dxa" w:w="60"/>
              <w:left w:type="dxa" w:w="100"/>
              <w:bottom w:type="dxa" w:w="60"/>
              <w:right w:type="dxa" w:w="100"/>
            </w:tcMar>
          </w:tcPr>
          <w:p>
            <w:pPr>
              <w:spacing w:after="40"/>
            </w:pPr>
            <w:r>
              <w:rPr>
                <w:sz w:val="19"/>
                <w:szCs w:val="19"/>
              </w:rPr>
              <w:t xml:space="preserve">Rapport hiérarchisé, vocabulaire accessible, limites de format respectées.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Niveau</w:t>
            </w:r>
          </w:p>
        </w:tc>
        <w:tc>
          <w:tcPr>
            <w:tcW w:type="dxa" w:w="8675"/>
            <w:shd w:fill="1F3A5F" w:color="auto" w:val="clear"/>
            <w:tcMar>
              <w:top w:type="dxa" w:w="60"/>
              <w:left w:type="dxa" w:w="100"/>
              <w:bottom w:type="dxa" w:w="60"/>
              <w:right w:type="dxa" w:w="100"/>
            </w:tcMar>
          </w:tcPr>
          <w:p>
            <w:pPr>
              <w:spacing w:after="40"/>
            </w:pPr>
            <w:r>
              <w:rPr>
                <w:b/>
                <w:bCs/>
                <w:color w:val="FFFFFF"/>
                <w:sz w:val="19"/>
                <w:szCs w:val="19"/>
              </w:rPr>
              <w:t xml:space="preserve">Description</w:t>
            </w:r>
          </w:p>
        </w:tc>
      </w:tr>
      <w:tr>
        <w:tc>
          <w:tcPr>
            <w:tcW w:type="dxa" w:w="963"/>
            <w:tcMar>
              <w:top w:type="dxa" w:w="60"/>
              <w:left w:type="dxa" w:w="100"/>
              <w:bottom w:type="dxa" w:w="60"/>
              <w:right w:type="dxa" w:w="100"/>
            </w:tcMar>
          </w:tcPr>
          <w:p>
            <w:pPr>
              <w:spacing w:after="40"/>
            </w:pPr>
            <w:r>
              <w:rPr>
                <w:sz w:val="19"/>
                <w:szCs w:val="19"/>
              </w:rPr>
              <w:t xml:space="preserve">0</w:t>
            </w:r>
          </w:p>
        </w:tc>
        <w:tc>
          <w:tcPr>
            <w:tcW w:type="dxa" w:w="8675"/>
            <w:tcMar>
              <w:top w:type="dxa" w:w="60"/>
              <w:left w:type="dxa" w:w="100"/>
              <w:bottom w:type="dxa" w:w="60"/>
              <w:right w:type="dxa" w:w="100"/>
            </w:tcMar>
          </w:tcPr>
          <w:p>
            <w:pPr>
              <w:spacing w:after="40"/>
            </w:pPr>
            <w:r>
              <w:rPr>
                <w:sz w:val="19"/>
                <w:szCs w:val="19"/>
              </w:rPr>
              <w:t xml:space="preserve">Aucune preuve exploitable pour le critère, ou production absente.</w:t>
            </w:r>
          </w:p>
        </w:tc>
      </w:tr>
      <w:tr>
        <w:tc>
          <w:tcPr>
            <w:tcW w:type="dxa" w:w="963"/>
            <w:shd w:fill="E8EEF5" w:color="auto" w:val="clear"/>
            <w:tcMar>
              <w:top w:type="dxa" w:w="60"/>
              <w:left w:type="dxa" w:w="100"/>
              <w:bottom w:type="dxa" w:w="60"/>
              <w:right w:type="dxa" w:w="100"/>
            </w:tcMar>
          </w:tcPr>
          <w:p>
            <w:pPr>
              <w:spacing w:after="40"/>
            </w:pPr>
            <w:r>
              <w:rPr>
                <w:sz w:val="19"/>
                <w:szCs w:val="19"/>
              </w:rPr>
              <w:t xml:space="preserve">1</w:t>
            </w:r>
          </w:p>
        </w:tc>
        <w:tc>
          <w:tcPr>
            <w:tcW w:type="dxa" w:w="8675"/>
            <w:shd w:fill="E8EEF5" w:color="auto" w:val="clear"/>
            <w:tcMar>
              <w:top w:type="dxa" w:w="60"/>
              <w:left w:type="dxa" w:w="100"/>
              <w:bottom w:type="dxa" w:w="60"/>
              <w:right w:type="dxa" w:w="100"/>
            </w:tcMar>
          </w:tcPr>
          <w:p>
            <w:pPr>
              <w:spacing w:after="40"/>
            </w:pPr>
            <w:r>
              <w:rPr>
                <w:sz w:val="19"/>
                <w:szCs w:val="19"/>
              </w:rPr>
              <w:t xml:space="preserve">Éléments isolés ; défaut majeur empêchant l’usage attendu.</w:t>
            </w:r>
          </w:p>
        </w:tc>
      </w:tr>
      <w:tr>
        <w:tc>
          <w:tcPr>
            <w:tcW w:type="dxa" w:w="963"/>
            <w:tcMar>
              <w:top w:type="dxa" w:w="60"/>
              <w:left w:type="dxa" w:w="100"/>
              <w:bottom w:type="dxa" w:w="60"/>
              <w:right w:type="dxa" w:w="100"/>
            </w:tcMar>
          </w:tcPr>
          <w:p>
            <w:pPr>
              <w:spacing w:after="40"/>
            </w:pPr>
            <w:r>
              <w:rPr>
                <w:sz w:val="19"/>
                <w:szCs w:val="19"/>
              </w:rPr>
              <w:t xml:space="preserve">2</w:t>
            </w:r>
          </w:p>
        </w:tc>
        <w:tc>
          <w:tcPr>
            <w:tcW w:type="dxa" w:w="8675"/>
            <w:tcMar>
              <w:top w:type="dxa" w:w="60"/>
              <w:left w:type="dxa" w:w="100"/>
              <w:bottom w:type="dxa" w:w="60"/>
              <w:right w:type="dxa" w:w="100"/>
            </w:tcMar>
          </w:tcPr>
          <w:p>
            <w:pPr>
              <w:spacing w:after="40"/>
            </w:pPr>
            <w:r>
              <w:rPr>
                <w:sz w:val="19"/>
                <w:szCs w:val="19"/>
              </w:rPr>
              <w:t xml:space="preserve">Réponse partielle ; un élément important manque ou reste incorrect.</w:t>
            </w:r>
          </w:p>
        </w:tc>
      </w:tr>
      <w:tr>
        <w:tc>
          <w:tcPr>
            <w:tcW w:type="dxa" w:w="963"/>
            <w:shd w:fill="E8EEF5" w:color="auto" w:val="clear"/>
            <w:tcMar>
              <w:top w:type="dxa" w:w="60"/>
              <w:left w:type="dxa" w:w="100"/>
              <w:bottom w:type="dxa" w:w="60"/>
              <w:right w:type="dxa" w:w="100"/>
            </w:tcMar>
          </w:tcPr>
          <w:p>
            <w:pPr>
              <w:spacing w:after="40"/>
            </w:pPr>
            <w:r>
              <w:rPr>
                <w:sz w:val="19"/>
                <w:szCs w:val="19"/>
              </w:rPr>
              <w:t xml:space="preserve">3</w:t>
            </w:r>
          </w:p>
        </w:tc>
        <w:tc>
          <w:tcPr>
            <w:tcW w:type="dxa" w:w="8675"/>
            <w:shd w:fill="E8EEF5" w:color="auto" w:val="clear"/>
            <w:tcMar>
              <w:top w:type="dxa" w:w="60"/>
              <w:left w:type="dxa" w:w="100"/>
              <w:bottom w:type="dxa" w:w="60"/>
              <w:right w:type="dxa" w:w="100"/>
            </w:tcMar>
          </w:tcPr>
          <w:p>
            <w:pPr>
              <w:spacing w:after="40"/>
            </w:pPr>
            <w:r>
              <w:rPr>
                <w:sz w:val="19"/>
                <w:szCs w:val="19"/>
              </w:rPr>
              <w:t xml:space="preserve">Critère globalement satisfait ; précision mineure à améliorer.</w:t>
            </w:r>
          </w:p>
        </w:tc>
      </w:tr>
      <w:tr>
        <w:tc>
          <w:tcPr>
            <w:tcW w:type="dxa" w:w="963"/>
            <w:tcMar>
              <w:top w:type="dxa" w:w="60"/>
              <w:left w:type="dxa" w:w="100"/>
              <w:bottom w:type="dxa" w:w="60"/>
              <w:right w:type="dxa" w:w="100"/>
            </w:tcMar>
          </w:tcPr>
          <w:p>
            <w:pPr>
              <w:spacing w:after="40"/>
            </w:pPr>
            <w:r>
              <w:rPr>
                <w:sz w:val="19"/>
                <w:szCs w:val="19"/>
              </w:rPr>
              <w:t xml:space="preserve">4</w:t>
            </w:r>
          </w:p>
        </w:tc>
        <w:tc>
          <w:tcPr>
            <w:tcW w:type="dxa" w:w="8675"/>
            <w:tcMar>
              <w:top w:type="dxa" w:w="60"/>
              <w:left w:type="dxa" w:w="100"/>
              <w:bottom w:type="dxa" w:w="60"/>
              <w:right w:type="dxa" w:w="100"/>
            </w:tcMar>
          </w:tcPr>
          <w:p>
            <w:pPr>
              <w:spacing w:after="40"/>
            </w:pPr>
            <w:r>
              <w:rPr>
                <w:sz w:val="19"/>
                <w:szCs w:val="19"/>
              </w:rPr>
              <w:t xml:space="preserve">Ensemble des preuves attendues présent, cohérent et utilisable.</w:t>
            </w:r>
          </w:p>
        </w:tc>
      </w:tr>
    </w:tbl>
    <w:p>
      <w:pPr>
        <w:spacing w:after="120"/>
      </w:pPr>
    </w:p>
    <w:p>
      <w:pPr>
        <w:spacing w:after="120"/>
      </w:pPr>
      <w:r>
        <w:t xml:space="preserve">Points du critère = maximum × niveau / 4 ; somme sur 20 ; quarts de point conservés. Écrire une preuve observée par critère, puis un acquis et une priorité de progrès. Pas de double pénalité pour une même erreur ; pas de points pour un vocabulaire technique inutile.</w:t>
      </w:r>
    </w:p>
    <w:p>
      <w:pPr>
        <w:spacing w:after="120"/>
      </w:pPr>
      <w:r>
        <w:rPr>
          <w:b/>
          <w:bCs/>
        </w:rPr>
        <w:t xml:space="preserve">Calibration :</w:t>
      </w:r>
      <w:r>
        <w:t xml:space="preserve"> appliquer la grille à deux copies contrastées, vérifier la cohérence des niveaux, puis reprendre ces deux copies avec les mêmes repères.</w:t>
      </w:r>
    </w:p>
    <w:p>
      <w:pPr>
        <w:pStyle w:val="Heading2"/>
      </w:pPr>
      <w:r>
        <w:t xml:space="preserve">Fiche de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963"/>
        <w:gridCol w:w="963"/>
        <w:gridCol w:w="4628"/>
      </w:tblGrid>
      <w:tr>
        <w:trPr>
          <w:tblHeader/>
        </w:trPr>
        <w:tc>
          <w:tcPr>
            <w:tcW w:type="dxa" w:w="3084"/>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Niveau</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4628"/>
            <w:shd w:fill="1F3A5F" w:color="auto" w:val="clear"/>
            <w:tcMar>
              <w:top w:type="dxa" w:w="60"/>
              <w:left w:type="dxa" w:w="100"/>
              <w:bottom w:type="dxa" w:w="60"/>
              <w:right w:type="dxa" w:w="100"/>
            </w:tcMar>
          </w:tcPr>
          <w:p>
            <w:pPr>
              <w:spacing w:after="40"/>
            </w:pPr>
            <w:r>
              <w:rPr>
                <w:b/>
                <w:bCs/>
                <w:color w:val="FFFFFF"/>
                <w:sz w:val="19"/>
                <w:szCs w:val="19"/>
              </w:rPr>
              <w:t xml:space="preserve">Preuve observée</w:t>
            </w:r>
          </w:p>
        </w:tc>
      </w:tr>
      <w:tr>
        <w:tc>
          <w:tcPr>
            <w:tcW w:type="dxa" w:w="3084"/>
            <w:tcMar>
              <w:top w:type="dxa" w:w="60"/>
              <w:left w:type="dxa" w:w="100"/>
              <w:bottom w:type="dxa" w:w="60"/>
              <w:right w:type="dxa" w:w="100"/>
            </w:tcMar>
          </w:tcPr>
          <w:p>
            <w:pPr>
              <w:spacing w:after="40"/>
            </w:pPr>
            <w:r>
              <w:rPr>
                <w:sz w:val="19"/>
                <w:szCs w:val="19"/>
              </w:rPr>
              <w:t xml:space="preserve">Décision et Note Flash (/4)</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Arbitrage métier (/4)</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Fiabilité (/4)</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Adaptation des messages (/3)</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Visuel décisionnel (/3)</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Clarté et concision (/2)</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b/>
                <w:bCs/>
                <w:sz w:val="19"/>
                <w:szCs w:val="19"/>
              </w:rPr>
              <w:t xml:space="preserve">Total /20</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r>
              <w:rPr>
                <w:sz w:val="19"/>
                <w:szCs w:val="19"/>
              </w:rPr>
              <w:t xml:space="preserve">Un acquis : … • Une priorité : …</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Écrit individuel NEREIS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Écrit individuel NEREIS</dc:title>
  <dc:creator>Nizam BOURHANI</dc:creator>
  <cp:lastModifiedBy>Un-named</cp:lastModifiedBy>
  <cp:revision>1</cp:revision>
  <dcterms:created xsi:type="dcterms:W3CDTF">2026-10-06T18:11:04.123Z</dcterms:created>
  <dcterms:modified xsi:type="dcterms:W3CDTF">2026-10-06T18:11:04.123Z</dcterms:modified>
</cp:coreProperties>
</file>

<file path=docProps/custom.xml><?xml version="1.0" encoding="utf-8"?>
<Properties xmlns="http://schemas.openxmlformats.org/officeDocument/2006/custom-properties" xmlns:vt="http://schemas.openxmlformats.org/officeDocument/2006/docPropsVTypes"/>
</file>