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66666"/>
          <w:sz w:val="18"/>
          <w:szCs w:val="18"/>
        </w:rPr>
        <w:t xml:space="preserve">EPITA Paris · MSc Informatique &amp; Management · Parcours Cybersécurité (MSc2, S3 2026-2027)</w:t>
      </w:r>
    </w:p>
    <w:p>
      <w:pPr>
        <w:spacing w:after="80"/>
      </w:pPr>
      <w:r>
        <w:rPr>
          <w:b/>
          <w:bCs/>
          <w:color w:val="1F3A5F"/>
          <w:sz w:val="40"/>
          <w:szCs w:val="40"/>
        </w:rPr>
        <w:t xml:space="preserve">Oral SELENE — dossier du jury</w:t>
      </w:r>
    </w:p>
    <w:p>
      <w:pPr>
        <w:spacing w:after="120"/>
      </w:pPr>
      <w:r>
        <w:rPr>
          <w:color w:val="444444"/>
          <w:sz w:val="24"/>
          <w:szCs w:val="24"/>
        </w:rPr>
        <w:t xml:space="preserve">Pitch individuel — 22 janvier 2027 — 5 min + 3 min de questions</w:t>
      </w:r>
    </w:p>
    <w:p>
      <w:pPr>
        <w:pBdr>
          <w:bottom w:val="single" w:color="1F3A5F" w:sz="8" w:space="4"/>
        </w:pBdr>
        <w:spacing w:after="240"/>
      </w:pPr>
      <w:r>
        <w:rPr>
          <w:sz w:val="19"/>
          <w:szCs w:val="19"/>
        </w:rPr>
        <w:t xml:space="preserve">ECUE </w:t>
      </w:r>
      <w:r>
        <w:rPr>
          <w:b/>
          <w:bCs/>
          <w:sz w:val="19"/>
          <w:szCs w:val="19"/>
        </w:rPr>
        <w:t xml:space="preserve">COEXCL</w:t>
      </w:r>
      <w:r>
        <w:rPr>
          <w:sz w:val="19"/>
          <w:szCs w:val="19"/>
        </w:rPr>
        <w:t xml:space="preserve"> — Communication exécutive (C-Level) · 20 h · 2 ECTS · Intervenant : BOURHANI Aboubakar Nizam</w:t>
      </w:r>
    </w:p>
    <w:p>
      <w:pPr>
        <w:shd w:fill="FDE2E2" w:color="auto" w:val="clear"/>
        <w:spacing w:after="200"/>
      </w:pPr>
      <w:r>
        <w:rPr>
          <w:b/>
          <w:bCs/>
          <w:sz w:val="19"/>
          <w:szCs w:val="19"/>
        </w:rPr>
        <w:t xml:space="preserve">RÉSERVÉ FORMATEUR ET REVUE PÉDAGOGIQUE — ne pas diffuser aux étudiants</w:t>
      </w:r>
    </w:p>
    <w:p>
      <w:pPr>
        <w:pStyle w:val="Heading1"/>
      </w:pPr>
      <w:r>
        <w:t xml:space="preserve">Organisation de la séance (3 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1156"/>
        <w:gridCol w:w="4627"/>
      </w:tblGrid>
      <w:tr>
        <w:trPr>
          <w:tblHeader/>
        </w:trPr>
        <w:tc>
          <w:tcPr>
            <w:tcW w:type="dxa" w:w="3855"/>
            <w:shd w:fill="1F3A5F" w:color="auto" w:val="clear"/>
            <w:tcMar>
              <w:top w:type="dxa" w:w="60"/>
              <w:left w:type="dxa" w:w="100"/>
              <w:bottom w:type="dxa" w:w="60"/>
              <w:right w:type="dxa" w:w="100"/>
            </w:tcMar>
          </w:tcPr>
          <w:p>
            <w:pPr>
              <w:spacing w:after="40"/>
            </w:pPr>
            <w:r>
              <w:rPr>
                <w:b/>
                <w:bCs/>
                <w:color w:val="FFFFFF"/>
                <w:sz w:val="19"/>
                <w:szCs w:val="19"/>
              </w:rPr>
              <w:t xml:space="preserve">Séquence</w:t>
            </w:r>
          </w:p>
        </w:tc>
        <w:tc>
          <w:tcPr>
            <w:tcW w:type="dxa" w:w="1156"/>
            <w:shd w:fill="1F3A5F" w:color="auto" w:val="clear"/>
            <w:tcMar>
              <w:top w:type="dxa" w:w="60"/>
              <w:left w:type="dxa" w:w="100"/>
              <w:bottom w:type="dxa" w:w="60"/>
              <w:right w:type="dxa" w:w="100"/>
            </w:tcMar>
          </w:tcPr>
          <w:p>
            <w:pPr>
              <w:spacing w:after="40"/>
            </w:pPr>
            <w:r>
              <w:rPr>
                <w:b/>
                <w:bCs/>
                <w:color w:val="FFFFFF"/>
                <w:sz w:val="19"/>
                <w:szCs w:val="19"/>
              </w:rPr>
              <w:t xml:space="preserve">Durée</w:t>
            </w:r>
          </w:p>
        </w:tc>
        <w:tc>
          <w:tcPr>
            <w:tcW w:type="dxa" w:w="4627"/>
            <w:shd w:fill="1F3A5F" w:color="auto" w:val="clear"/>
            <w:tcMar>
              <w:top w:type="dxa" w:w="60"/>
              <w:left w:type="dxa" w:w="100"/>
              <w:bottom w:type="dxa" w:w="60"/>
              <w:right w:type="dxa" w:w="100"/>
            </w:tcMar>
          </w:tcPr>
          <w:p>
            <w:pPr>
              <w:spacing w:after="40"/>
            </w:pPr>
            <w:r>
              <w:rPr>
                <w:b/>
                <w:bCs/>
                <w:color w:val="FFFFFF"/>
                <w:sz w:val="19"/>
                <w:szCs w:val="19"/>
              </w:rPr>
              <w:t xml:space="preserve">Modalité</w:t>
            </w:r>
          </w:p>
        </w:tc>
      </w:tr>
      <w:tr>
        <w:tc>
          <w:tcPr>
            <w:tcW w:type="dxa" w:w="3855"/>
            <w:tcMar>
              <w:top w:type="dxa" w:w="60"/>
              <w:left w:type="dxa" w:w="100"/>
              <w:bottom w:type="dxa" w:w="60"/>
              <w:right w:type="dxa" w:w="100"/>
            </w:tcMar>
          </w:tcPr>
          <w:p>
            <w:pPr>
              <w:spacing w:after="40"/>
            </w:pPr>
            <w:r>
              <w:rPr>
                <w:sz w:val="19"/>
                <w:szCs w:val="19"/>
              </w:rPr>
              <w:t xml:space="preserve">Accueil et rappel des règles</w:t>
            </w:r>
          </w:p>
        </w:tc>
        <w:tc>
          <w:tcPr>
            <w:tcW w:type="dxa" w:w="1156"/>
            <w:tcMar>
              <w:top w:type="dxa" w:w="60"/>
              <w:left w:type="dxa" w:w="100"/>
              <w:bottom w:type="dxa" w:w="60"/>
              <w:right w:type="dxa" w:w="100"/>
            </w:tcMar>
          </w:tcPr>
          <w:p>
            <w:pPr>
              <w:spacing w:after="40"/>
            </w:pPr>
            <w:r>
              <w:rPr>
                <w:sz w:val="19"/>
                <w:szCs w:val="19"/>
              </w:rPr>
              <w:t xml:space="preserve">10 min</w:t>
            </w:r>
          </w:p>
        </w:tc>
        <w:tc>
          <w:tcPr>
            <w:tcW w:type="dxa" w:w="4627"/>
            <w:tcMar>
              <w:top w:type="dxa" w:w="60"/>
              <w:left w:type="dxa" w:w="100"/>
              <w:bottom w:type="dxa" w:w="60"/>
              <w:right w:type="dxa" w:w="100"/>
            </w:tcMar>
          </w:tcPr>
          <w:p>
            <w:pPr>
              <w:spacing w:after="40"/>
            </w:pPr>
            <w:r>
              <w:rPr>
                <w:sz w:val="19"/>
                <w:szCs w:val="19"/>
              </w:rPr>
              <w:t xml:space="preserve">Format, chronomètre, ordre connu ; pas de nouvelle préparation au contenu.</w:t>
            </w:r>
          </w:p>
        </w:tc>
      </w:tr>
      <w:tr>
        <w:tc>
          <w:tcPr>
            <w:tcW w:type="dxa" w:w="3855"/>
            <w:shd w:fill="E8EEF5" w:color="auto" w:val="clear"/>
            <w:tcMar>
              <w:top w:type="dxa" w:w="60"/>
              <w:left w:type="dxa" w:w="100"/>
              <w:bottom w:type="dxa" w:w="60"/>
              <w:right w:type="dxa" w:w="100"/>
            </w:tcMar>
          </w:tcPr>
          <w:p>
            <w:pPr>
              <w:spacing w:after="40"/>
            </w:pPr>
            <w:r>
              <w:rPr>
                <w:sz w:val="19"/>
                <w:szCs w:val="19"/>
              </w:rPr>
              <w:t xml:space="preserve">Bloc de passages</w:t>
            </w:r>
          </w:p>
        </w:tc>
        <w:tc>
          <w:tcPr>
            <w:tcW w:type="dxa" w:w="1156"/>
            <w:shd w:fill="E8EEF5" w:color="auto" w:val="clear"/>
            <w:tcMar>
              <w:top w:type="dxa" w:w="60"/>
              <w:left w:type="dxa" w:w="100"/>
              <w:bottom w:type="dxa" w:w="60"/>
              <w:right w:type="dxa" w:w="100"/>
            </w:tcMar>
          </w:tcPr>
          <w:p>
            <w:pPr>
              <w:spacing w:after="40"/>
            </w:pPr>
            <w:r>
              <w:rPr>
                <w:sz w:val="19"/>
                <w:szCs w:val="19"/>
              </w:rPr>
              <w:t xml:space="preserve">145 min</w:t>
            </w:r>
          </w:p>
        </w:tc>
        <w:tc>
          <w:tcPr>
            <w:tcW w:type="dxa" w:w="4627"/>
            <w:shd w:fill="E8EEF5" w:color="auto" w:val="clear"/>
            <w:tcMar>
              <w:top w:type="dxa" w:w="60"/>
              <w:left w:type="dxa" w:w="100"/>
              <w:bottom w:type="dxa" w:w="60"/>
              <w:right w:type="dxa" w:w="100"/>
            </w:tcMar>
          </w:tcPr>
          <w:p>
            <w:pPr>
              <w:spacing w:after="40"/>
            </w:pPr>
            <w:r>
              <w:rPr>
                <w:sz w:val="19"/>
                <w:szCs w:val="19"/>
              </w:rPr>
              <w:t xml:space="preserve">Jusqu’à 16 créneaux de 9 min : 5 min de pitch, 3 min de questions, 1 min de notation et transition.</w:t>
            </w:r>
          </w:p>
        </w:tc>
      </w:tr>
      <w:tr>
        <w:tc>
          <w:tcPr>
            <w:tcW w:type="dxa" w:w="3855"/>
            <w:tcMar>
              <w:top w:type="dxa" w:w="60"/>
              <w:left w:type="dxa" w:w="100"/>
              <w:bottom w:type="dxa" w:w="60"/>
              <w:right w:type="dxa" w:w="100"/>
            </w:tcMar>
          </w:tcPr>
          <w:p>
            <w:pPr>
              <w:spacing w:after="40"/>
            </w:pPr>
            <w:r>
              <w:rPr>
                <w:sz w:val="19"/>
                <w:szCs w:val="19"/>
              </w:rPr>
              <w:t xml:space="preserve">Pause</w:t>
            </w:r>
          </w:p>
        </w:tc>
        <w:tc>
          <w:tcPr>
            <w:tcW w:type="dxa" w:w="1156"/>
            <w:tcMar>
              <w:top w:type="dxa" w:w="60"/>
              <w:left w:type="dxa" w:w="100"/>
              <w:bottom w:type="dxa" w:w="60"/>
              <w:right w:type="dxa" w:w="100"/>
            </w:tcMar>
          </w:tcPr>
          <w:p>
            <w:pPr>
              <w:spacing w:after="40"/>
            </w:pPr>
            <w:r>
              <w:rPr>
                <w:sz w:val="19"/>
                <w:szCs w:val="19"/>
              </w:rPr>
              <w:t xml:space="preserve">15 min</w:t>
            </w:r>
          </w:p>
        </w:tc>
        <w:tc>
          <w:tcPr>
            <w:tcW w:type="dxa" w:w="4627"/>
            <w:tcMar>
              <w:top w:type="dxa" w:w="60"/>
              <w:left w:type="dxa" w:w="100"/>
              <w:bottom w:type="dxa" w:w="60"/>
              <w:right w:type="dxa" w:w="100"/>
            </w:tcMar>
          </w:tcPr>
          <w:p>
            <w:pPr>
              <w:spacing w:after="40"/>
            </w:pPr>
            <w:r>
              <w:rPr>
                <w:sz w:val="19"/>
                <w:szCs w:val="19"/>
              </w:rPr>
              <w:t xml:space="preserve">Après huit passages au maximum ; hors des créneaux individuels.</w:t>
            </w:r>
          </w:p>
        </w:tc>
      </w:tr>
      <w:tr>
        <w:tc>
          <w:tcPr>
            <w:tcW w:type="dxa" w:w="3855"/>
            <w:shd w:fill="E8EEF5" w:color="auto" w:val="clear"/>
            <w:tcMar>
              <w:top w:type="dxa" w:w="60"/>
              <w:left w:type="dxa" w:w="100"/>
              <w:bottom w:type="dxa" w:w="60"/>
              <w:right w:type="dxa" w:w="100"/>
            </w:tcMar>
          </w:tcPr>
          <w:p>
            <w:pPr>
              <w:spacing w:after="40"/>
            </w:pPr>
            <w:r>
              <w:rPr>
                <w:sz w:val="19"/>
                <w:szCs w:val="19"/>
              </w:rPr>
              <w:t xml:space="preserve">Bilan collectif</w:t>
            </w:r>
          </w:p>
        </w:tc>
        <w:tc>
          <w:tcPr>
            <w:tcW w:type="dxa" w:w="1156"/>
            <w:shd w:fill="E8EEF5" w:color="auto" w:val="clear"/>
            <w:tcMar>
              <w:top w:type="dxa" w:w="60"/>
              <w:left w:type="dxa" w:w="100"/>
              <w:bottom w:type="dxa" w:w="60"/>
              <w:right w:type="dxa" w:w="100"/>
            </w:tcMar>
          </w:tcPr>
          <w:p>
            <w:pPr>
              <w:spacing w:after="40"/>
            </w:pPr>
            <w:r>
              <w:rPr>
                <w:sz w:val="19"/>
                <w:szCs w:val="19"/>
              </w:rPr>
              <w:t xml:space="preserve">10 min</w:t>
            </w:r>
          </w:p>
        </w:tc>
        <w:tc>
          <w:tcPr>
            <w:tcW w:type="dxa" w:w="4627"/>
            <w:shd w:fill="E8EEF5" w:color="auto" w:val="clear"/>
            <w:tcMar>
              <w:top w:type="dxa" w:w="60"/>
              <w:left w:type="dxa" w:w="100"/>
              <w:bottom w:type="dxa" w:w="60"/>
              <w:right w:type="dxa" w:w="100"/>
            </w:tcMar>
          </w:tcPr>
          <w:p>
            <w:pPr>
              <w:spacing w:after="40"/>
            </w:pPr>
            <w:r>
              <w:rPr>
                <w:sz w:val="19"/>
                <w:szCs w:val="19"/>
              </w:rPr>
              <w:t xml:space="preserve">Acquis transversaux, sans classement public ni annonce des notes.</w:t>
            </w:r>
          </w:p>
        </w:tc>
      </w:tr>
    </w:tbl>
    <w:p>
      <w:pPr>
        <w:spacing w:after="120"/>
      </w:pPr>
    </w:p>
    <w:p>
      <w:pPr>
        <w:pStyle w:val="ListParagraph"/>
        <w:numPr>
          <w:ilvl w:val="0"/>
          <w:numId w:val="2"/>
        </w:numPr>
        <w:spacing w:after="60"/>
      </w:pPr>
      <w:r>
        <w:rPr>
          <w:b/>
          <w:bCs/>
        </w:rPr>
        <w:t xml:space="preserve">Sept étudiants :</w:t>
      </w:r>
      <w:r>
        <w:t xml:space="preserve"> 63 min de passages ; après le dernier passage, 35 min de feedback individuel (5 min chacun), 30 min de réécriture d’une ouverture, 17 min de transfert vers une présentation professionnelle. Sans effet sur la note.</w:t>
      </w:r>
    </w:p>
    <w:p>
      <w:pPr>
        <w:pStyle w:val="ListParagraph"/>
        <w:numPr>
          <w:ilvl w:val="0"/>
          <w:numId w:val="2"/>
        </w:numPr>
        <w:spacing w:after="60"/>
      </w:pPr>
      <w:r>
        <w:rPr>
          <w:b/>
          <w:bCs/>
        </w:rPr>
        <w:t xml:space="preserve">Huit à seize :</w:t>
      </w:r>
      <w:r>
        <w:t xml:space="preserve"> N × 9 min de passages ; le solde sert au retour ou à la consolidation. À seize, une minute de marge.</w:t>
      </w:r>
    </w:p>
    <w:p>
      <w:pPr>
        <w:pStyle w:val="ListParagraph"/>
        <w:numPr>
          <w:ilvl w:val="0"/>
          <w:numId w:val="2"/>
        </w:numPr>
        <w:spacing w:after="60"/>
      </w:pPr>
      <w:r>
        <w:rPr>
          <w:b/>
          <w:bCs/>
        </w:rPr>
        <w:t xml:space="preserve">Au-delà de seize :</w:t>
      </w:r>
      <w:r>
        <w:t xml:space="preserve"> jury parallèle ou durée supplémentaire à convenir avec EPITA (même cas, mêmes questions, niveaux harmonisés). Ne pas raccourcir le format annoncé.</w:t>
      </w:r>
    </w:p>
    <w:p>
      <w:pPr>
        <w:pStyle w:val="ListParagraph"/>
        <w:numPr>
          <w:ilvl w:val="0"/>
          <w:numId w:val="2"/>
        </w:numPr>
        <w:spacing w:after="60"/>
      </w:pPr>
      <w:r>
        <w:rPr>
          <w:b/>
          <w:bCs/>
        </w:rPr>
        <w:t xml:space="preserve">Équité :</w:t>
      </w:r>
      <w:r>
        <w:t xml:space="preserve"> dossier SELENE et grille remis sept jours avant ; supports collectés avant le premier passage ; candidats en attente hors de la salle ; temps majorés éventuels intégrés au planning.</w:t>
      </w:r>
    </w:p>
    <w:p>
      <w:pPr>
        <w:pStyle w:val="Heading1"/>
      </w:pPr>
      <w:r>
        <w:t xml:space="preserve">Les deux questions communes</w:t>
      </w:r>
    </w:p>
    <w:p>
      <w:pPr>
        <w:spacing w:after="120"/>
      </w:pPr>
      <w:r>
        <w:t xml:space="preserve">Environ 90 secondes par question, formulation comprise. Une relance de clarification est possible dans ce temps. Pas de question technique supplémentaire réservée à certains candidats. À 5 minutes, arrêter la présentation.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Question</w:t>
            </w:r>
          </w:p>
        </w:tc>
        <w:tc>
          <w:tcPr>
            <w:tcW w:type="dxa" w:w="4819"/>
            <w:shd w:fill="1F3A5F" w:color="auto" w:val="clear"/>
            <w:tcMar>
              <w:top w:type="dxa" w:w="60"/>
              <w:left w:type="dxa" w:w="100"/>
              <w:bottom w:type="dxa" w:w="60"/>
              <w:right w:type="dxa" w:w="100"/>
            </w:tcMar>
          </w:tcPr>
          <w:p>
            <w:pPr>
              <w:spacing w:after="40"/>
            </w:pPr>
            <w:r>
              <w:rPr>
                <w:b/>
                <w:bCs/>
                <w:color w:val="FFFFFF"/>
                <w:sz w:val="19"/>
                <w:szCs w:val="19"/>
              </w:rPr>
              <w:t xml:space="preserve">Ce que la réponse doit montrer</w:t>
            </w:r>
          </w:p>
        </w:tc>
      </w:tr>
      <w:tr>
        <w:tc>
          <w:tcPr>
            <w:tcW w:type="dxa" w:w="4819"/>
            <w:tcMar>
              <w:top w:type="dxa" w:w="60"/>
              <w:left w:type="dxa" w:w="100"/>
              <w:bottom w:type="dxa" w:w="60"/>
              <w:right w:type="dxa" w:w="100"/>
            </w:tcMar>
          </w:tcPr>
          <w:p>
            <w:pPr>
              <w:spacing w:after="40"/>
            </w:pPr>
            <w:r>
              <w:rPr>
                <w:sz w:val="19"/>
                <w:szCs w:val="19"/>
              </w:rPr>
              <w:t xml:space="preserve">1. « Quel avantage de l’option écartée acceptez-vous de perdre, et pourquoi ? »</w:t>
            </w:r>
          </w:p>
        </w:tc>
        <w:tc>
          <w:tcPr>
            <w:tcW w:type="dxa" w:w="4819"/>
            <w:tcMar>
              <w:top w:type="dxa" w:w="60"/>
              <w:left w:type="dxa" w:w="100"/>
              <w:bottom w:type="dxa" w:w="60"/>
              <w:right w:type="dxa" w:w="100"/>
            </w:tcMar>
          </w:tcPr>
          <w:p>
            <w:pPr>
              <w:spacing w:after="40"/>
            </w:pPr>
            <w:r>
              <w:rPr>
                <w:sz w:val="19"/>
                <w:szCs w:val="19"/>
              </w:rPr>
              <w:t xml:space="preserve">Reconnaît le compromis réel et le relie à une priorité de direction.</w:t>
            </w:r>
          </w:p>
        </w:tc>
      </w:tr>
      <w:tr>
        <w:tc>
          <w:tcPr>
            <w:tcW w:type="dxa" w:w="4819"/>
            <w:shd w:fill="E8EEF5" w:color="auto" w:val="clear"/>
            <w:tcMar>
              <w:top w:type="dxa" w:w="60"/>
              <w:left w:type="dxa" w:w="100"/>
              <w:bottom w:type="dxa" w:w="60"/>
              <w:right w:type="dxa" w:w="100"/>
            </w:tcMar>
          </w:tcPr>
          <w:p>
            <w:pPr>
              <w:spacing w:after="40"/>
            </w:pPr>
            <w:r>
              <w:rPr>
                <w:sz w:val="19"/>
                <w:szCs w:val="19"/>
              </w:rPr>
              <w:t xml:space="preserve">2. « Le client demande : “Pouvez-vous nous garantir que le problème sera réglé avant l’audit ?” Que lui répondez-vous ? »</w:t>
            </w:r>
          </w:p>
        </w:tc>
        <w:tc>
          <w:tcPr>
            <w:tcW w:type="dxa" w:w="4819"/>
            <w:shd w:fill="E8EEF5" w:color="auto" w:val="clear"/>
            <w:tcMar>
              <w:top w:type="dxa" w:w="60"/>
              <w:left w:type="dxa" w:w="100"/>
              <w:bottom w:type="dxa" w:w="60"/>
              <w:right w:type="dxa" w:w="100"/>
            </w:tcMar>
          </w:tcPr>
          <w:p>
            <w:pPr>
              <w:spacing w:after="40"/>
            </w:pPr>
            <w:r>
              <w:rPr>
                <w:sz w:val="19"/>
                <w:szCs w:val="19"/>
              </w:rPr>
              <w:t xml:space="preserve">Adapte le message au client ; aucun engagement non fondé ; distingue délai, portée de la mesure et garantie ; propose un prochain point.</w:t>
            </w:r>
          </w:p>
        </w:tc>
      </w:tr>
    </w:tbl>
    <w:p>
      <w:pPr>
        <w:spacing w:after="120"/>
      </w:pPr>
    </w:p>
    <w:p>
      <w:pPr>
        <w:pStyle w:val="Heading1"/>
      </w:pPr>
      <w:r>
        <w:t xml:space="preserve">Corrigé : deux choix recevables</w:t>
      </w:r>
    </w:p>
    <w:p>
      <w:pPr>
        <w:pStyle w:val="ListParagraph"/>
        <w:numPr>
          <w:ilvl w:val="0"/>
          <w:numId w:val="2"/>
        </w:numPr>
        <w:spacing w:after="60"/>
      </w:pPr>
      <w:r>
        <w:rPr>
          <w:b/>
          <w:bCs/>
        </w:rPr>
        <w:t xml:space="preserve">A (8 000 €, 10 jours, 6 h internes)</w:t>
      </w:r>
      <w:r>
        <w:t xml:space="preserve"> traite la limite des comptes partagés et laisse de la disponibilité interne, mais ne sera pas achevée avant l’audit (7 jours ouvrés). Ne pas promettre un report : le client ne l’a pas accepté. Choisir A n’empêche pas de proposer un suivi du risque d’ici là, présenté comme une proposition.</w:t>
      </w:r>
    </w:p>
    <w:p>
      <w:pPr>
        <w:pStyle w:val="ListParagraph"/>
        <w:numPr>
          <w:ilvl w:val="0"/>
          <w:numId w:val="2"/>
        </w:numPr>
        <w:spacing w:after="60"/>
      </w:pPr>
      <w:r>
        <w:rPr>
          <w:b/>
          <w:bCs/>
        </w:rPr>
        <w:t xml:space="preserve">B (5 000 €, 3 jours, 20 h internes)</w:t>
      </w:r>
      <w:r>
        <w:t xml:space="preserve"> met une mesure en place avant l’audit selon l’estimation, mais garde les comptes partagés, consomme toutes les heures internes et a un coût de maintien inconnu. Dire que B résout l’identification individuelle est faux.</w:t>
      </w:r>
    </w:p>
    <w:p>
      <w:pPr>
        <w:pStyle w:val="ListParagraph"/>
        <w:numPr>
          <w:ilvl w:val="0"/>
          <w:numId w:val="2"/>
        </w:numPr>
        <w:spacing w:after="60"/>
      </w:pPr>
      <w:r>
        <w:rPr>
          <w:b/>
          <w:bCs/>
        </w:rPr>
        <w:t xml:space="preserve">B puis A :</w:t>
      </w:r>
      <w:r>
        <w:t xml:space="preserve"> possible comme étape, mais 13 000 € cumulés dépassent de 5 000 € l’enveloppe autorisable de 8 000 €, et les 6 h internes de A s’ajouteraient aux 20 h déjà consommées : une nouvelle autorisation serait nécessaire.</w:t>
      </w:r>
    </w:p>
    <w:p>
      <w:pPr>
        <w:pStyle w:val="Heading1"/>
      </w:pPr>
      <w:r>
        <w:t xml:space="preserve">Grille de notation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771"/>
        <w:gridCol w:w="5783"/>
      </w:tblGrid>
      <w:tr>
        <w:trPr>
          <w:tblHeader/>
        </w:trPr>
        <w:tc>
          <w:tcPr>
            <w:tcW w:type="dxa" w:w="3084"/>
            <w:shd w:fill="1F3A5F" w:color="auto" w:val="clear"/>
            <w:tcMar>
              <w:top w:type="dxa" w:w="60"/>
              <w:left w:type="dxa" w:w="100"/>
              <w:bottom w:type="dxa" w:w="60"/>
              <w:right w:type="dxa" w:w="100"/>
            </w:tcMar>
          </w:tcPr>
          <w:p>
            <w:pPr>
              <w:spacing w:after="40"/>
            </w:pPr>
            <w:r>
              <w:rPr>
                <w:b/>
                <w:bCs/>
                <w:color w:val="FFFFFF"/>
                <w:sz w:val="19"/>
                <w:szCs w:val="19"/>
              </w:rPr>
              <w:t xml:space="preserve">Critère</w:t>
            </w:r>
          </w:p>
        </w:tc>
        <w:tc>
          <w:tcPr>
            <w:tcW w:type="dxa" w:w="771"/>
            <w:shd w:fill="1F3A5F" w:color="auto" w:val="clear"/>
            <w:tcMar>
              <w:top w:type="dxa" w:w="60"/>
              <w:left w:type="dxa" w:w="100"/>
              <w:bottom w:type="dxa" w:w="60"/>
              <w:right w:type="dxa" w:w="100"/>
            </w:tcMar>
          </w:tcPr>
          <w:p>
            <w:pPr>
              <w:spacing w:after="40"/>
            </w:pPr>
            <w:r>
              <w:rPr>
                <w:b/>
                <w:bCs/>
                <w:color w:val="FFFFFF"/>
                <w:sz w:val="19"/>
                <w:szCs w:val="19"/>
              </w:rPr>
              <w:t xml:space="preserve">Max.</w:t>
            </w:r>
          </w:p>
        </w:tc>
        <w:tc>
          <w:tcPr>
            <w:tcW w:type="dxa" w:w="5783"/>
            <w:shd w:fill="1F3A5F" w:color="auto" w:val="clear"/>
            <w:tcMar>
              <w:top w:type="dxa" w:w="60"/>
              <w:left w:type="dxa" w:w="100"/>
              <w:bottom w:type="dxa" w:w="60"/>
              <w:right w:type="dxa" w:w="100"/>
            </w:tcMar>
          </w:tcPr>
          <w:p>
            <w:pPr>
              <w:spacing w:after="40"/>
            </w:pPr>
            <w:r>
              <w:rPr>
                <w:b/>
                <w:bCs/>
                <w:color w:val="FFFFFF"/>
                <w:sz w:val="19"/>
                <w:szCs w:val="19"/>
              </w:rPr>
              <w:t xml:space="preserve">Preuve attendue au niveau 4</w:t>
            </w:r>
          </w:p>
        </w:tc>
      </w:tr>
      <w:tr>
        <w:tc>
          <w:tcPr>
            <w:tcW w:type="dxa" w:w="3084"/>
            <w:tcMar>
              <w:top w:type="dxa" w:w="60"/>
              <w:left w:type="dxa" w:w="100"/>
              <w:bottom w:type="dxa" w:w="60"/>
              <w:right w:type="dxa" w:w="100"/>
            </w:tcMar>
          </w:tcPr>
          <w:p>
            <w:pPr>
              <w:spacing w:after="40"/>
            </w:pPr>
            <w:r>
              <w:rPr>
                <w:sz w:val="19"/>
                <w:szCs w:val="19"/>
              </w:rPr>
              <w:t xml:space="preserve">Décision et positionnement</w:t>
            </w:r>
          </w:p>
        </w:tc>
        <w:tc>
          <w:tcPr>
            <w:tcW w:type="dxa" w:w="771"/>
            <w:tcMar>
              <w:top w:type="dxa" w:w="60"/>
              <w:left w:type="dxa" w:w="100"/>
              <w:bottom w:type="dxa" w:w="60"/>
              <w:right w:type="dxa" w:w="100"/>
            </w:tcMar>
          </w:tcPr>
          <w:p>
            <w:pPr>
              <w:spacing w:after="40"/>
            </w:pPr>
            <w:r>
              <w:rPr>
                <w:sz w:val="19"/>
                <w:szCs w:val="19"/>
              </w:rPr>
              <w:t xml:space="preserve">4</w:t>
            </w:r>
          </w:p>
        </w:tc>
        <w:tc>
          <w:tcPr>
            <w:tcW w:type="dxa" w:w="5783"/>
            <w:tcMar>
              <w:top w:type="dxa" w:w="60"/>
              <w:left w:type="dxa" w:w="100"/>
              <w:bottom w:type="dxa" w:w="60"/>
              <w:right w:type="dxa" w:w="100"/>
            </w:tcMar>
          </w:tcPr>
          <w:p>
            <w:pPr>
              <w:spacing w:after="40"/>
            </w:pPr>
            <w:r>
              <w:rPr>
                <w:sz w:val="19"/>
                <w:szCs w:val="19"/>
              </w:rPr>
              <w:t xml:space="preserve">Rôle et accord demandé explicites ; recommandation annoncée tôt et rappelée.</w:t>
            </w:r>
          </w:p>
        </w:tc>
      </w:tr>
      <w:tr>
        <w:tc>
          <w:tcPr>
            <w:tcW w:type="dxa" w:w="3084"/>
            <w:shd w:fill="E8EEF5" w:color="auto" w:val="clear"/>
            <w:tcMar>
              <w:top w:type="dxa" w:w="60"/>
              <w:left w:type="dxa" w:w="100"/>
              <w:bottom w:type="dxa" w:w="60"/>
              <w:right w:type="dxa" w:w="100"/>
            </w:tcMar>
          </w:tcPr>
          <w:p>
            <w:pPr>
              <w:spacing w:after="40"/>
            </w:pPr>
            <w:r>
              <w:rPr>
                <w:sz w:val="19"/>
                <w:szCs w:val="19"/>
              </w:rPr>
              <w:t xml:space="preserve">Arbitrage et impact métier</w:t>
            </w:r>
          </w:p>
        </w:tc>
        <w:tc>
          <w:tcPr>
            <w:tcW w:type="dxa" w:w="771"/>
            <w:shd w:fill="E8EEF5" w:color="auto" w:val="clear"/>
            <w:tcMar>
              <w:top w:type="dxa" w:w="60"/>
              <w:left w:type="dxa" w:w="100"/>
              <w:bottom w:type="dxa" w:w="60"/>
              <w:right w:type="dxa" w:w="100"/>
            </w:tcMar>
          </w:tcPr>
          <w:p>
            <w:pPr>
              <w:spacing w:after="40"/>
            </w:pPr>
            <w:r>
              <w:rPr>
                <w:sz w:val="19"/>
                <w:szCs w:val="19"/>
              </w:rPr>
              <w:t xml:space="preserve">4</w:t>
            </w:r>
          </w:p>
        </w:tc>
        <w:tc>
          <w:tcPr>
            <w:tcW w:type="dxa" w:w="5783"/>
            <w:shd w:fill="E8EEF5" w:color="auto" w:val="clear"/>
            <w:tcMar>
              <w:top w:type="dxa" w:w="60"/>
              <w:left w:type="dxa" w:w="100"/>
              <w:bottom w:type="dxa" w:w="60"/>
              <w:right w:type="dxa" w:w="100"/>
            </w:tcMar>
          </w:tcPr>
          <w:p>
            <w:pPr>
              <w:spacing w:after="40"/>
            </w:pPr>
            <w:r>
              <w:rPr>
                <w:sz w:val="19"/>
                <w:szCs w:val="19"/>
              </w:rPr>
              <w:t xml:space="preserve">Arguments liés à l’audit et à l’activité ; comparaison des moyens et du compromis.</w:t>
            </w:r>
          </w:p>
        </w:tc>
      </w:tr>
      <w:tr>
        <w:tc>
          <w:tcPr>
            <w:tcW w:type="dxa" w:w="3084"/>
            <w:tcMar>
              <w:top w:type="dxa" w:w="60"/>
              <w:left w:type="dxa" w:w="100"/>
              <w:bottom w:type="dxa" w:w="60"/>
              <w:right w:type="dxa" w:w="100"/>
            </w:tcMar>
          </w:tcPr>
          <w:p>
            <w:pPr>
              <w:spacing w:after="40"/>
            </w:pPr>
            <w:r>
              <w:rPr>
                <w:sz w:val="19"/>
                <w:szCs w:val="19"/>
              </w:rPr>
              <w:t xml:space="preserve">Fiabilité</w:t>
            </w:r>
          </w:p>
        </w:tc>
        <w:tc>
          <w:tcPr>
            <w:tcW w:type="dxa" w:w="771"/>
            <w:tcMar>
              <w:top w:type="dxa" w:w="60"/>
              <w:left w:type="dxa" w:w="100"/>
              <w:bottom w:type="dxa" w:w="60"/>
              <w:right w:type="dxa" w:w="100"/>
            </w:tcMar>
          </w:tcPr>
          <w:p>
            <w:pPr>
              <w:spacing w:after="40"/>
            </w:pPr>
            <w:r>
              <w:rPr>
                <w:sz w:val="19"/>
                <w:szCs w:val="19"/>
              </w:rPr>
              <w:t xml:space="preserve">3</w:t>
            </w:r>
          </w:p>
        </w:tc>
        <w:tc>
          <w:tcPr>
            <w:tcW w:type="dxa" w:w="5783"/>
            <w:tcMar>
              <w:top w:type="dxa" w:w="60"/>
              <w:left w:type="dxa" w:w="100"/>
              <w:bottom w:type="dxa" w:w="60"/>
              <w:right w:type="dxa" w:w="100"/>
            </w:tcMar>
          </w:tcPr>
          <w:p>
            <w:pPr>
              <w:spacing w:after="40"/>
            </w:pPr>
            <w:r>
              <w:rPr>
                <w:sz w:val="19"/>
                <w:szCs w:val="19"/>
              </w:rPr>
              <w:t xml:space="preserve">Chiffres, délais, contraintes et limites exacts ; aucune promesse inventée.</w:t>
            </w:r>
          </w:p>
        </w:tc>
      </w:tr>
      <w:tr>
        <w:tc>
          <w:tcPr>
            <w:tcW w:type="dxa" w:w="3084"/>
            <w:shd w:fill="E8EEF5" w:color="auto" w:val="clear"/>
            <w:tcMar>
              <w:top w:type="dxa" w:w="60"/>
              <w:left w:type="dxa" w:w="100"/>
              <w:bottom w:type="dxa" w:w="60"/>
              <w:right w:type="dxa" w:w="100"/>
            </w:tcMar>
          </w:tcPr>
          <w:p>
            <w:pPr>
              <w:spacing w:after="40"/>
            </w:pPr>
            <w:r>
              <w:rPr>
                <w:sz w:val="19"/>
                <w:szCs w:val="19"/>
              </w:rPr>
              <w:t xml:space="preserve">Structure et visuel</w:t>
            </w:r>
          </w:p>
        </w:tc>
        <w:tc>
          <w:tcPr>
            <w:tcW w:type="dxa" w:w="771"/>
            <w:shd w:fill="E8EEF5" w:color="auto" w:val="clear"/>
            <w:tcMar>
              <w:top w:type="dxa" w:w="60"/>
              <w:left w:type="dxa" w:w="100"/>
              <w:bottom w:type="dxa" w:w="60"/>
              <w:right w:type="dxa" w:w="100"/>
            </w:tcMar>
          </w:tcPr>
          <w:p>
            <w:pPr>
              <w:spacing w:after="40"/>
            </w:pPr>
            <w:r>
              <w:rPr>
                <w:sz w:val="19"/>
                <w:szCs w:val="19"/>
              </w:rPr>
              <w:t xml:space="preserve">3</w:t>
            </w:r>
          </w:p>
        </w:tc>
        <w:tc>
          <w:tcPr>
            <w:tcW w:type="dxa" w:w="5783"/>
            <w:shd w:fill="E8EEF5" w:color="auto" w:val="clear"/>
            <w:tcMar>
              <w:top w:type="dxa" w:w="60"/>
              <w:left w:type="dxa" w:w="100"/>
              <w:bottom w:type="dxa" w:w="60"/>
              <w:right w:type="dxa" w:w="100"/>
            </w:tcMar>
          </w:tcPr>
          <w:p>
            <w:pPr>
              <w:spacing w:after="40"/>
            </w:pPr>
            <w:r>
              <w:rPr>
                <w:sz w:val="19"/>
                <w:szCs w:val="19"/>
              </w:rPr>
              <w:t xml:space="preserve">Cheminement suivi sans effort ; visuel exact et utile à la comparaison.</w:t>
            </w:r>
          </w:p>
        </w:tc>
      </w:tr>
      <w:tr>
        <w:tc>
          <w:tcPr>
            <w:tcW w:type="dxa" w:w="3084"/>
            <w:tcMar>
              <w:top w:type="dxa" w:w="60"/>
              <w:left w:type="dxa" w:w="100"/>
              <w:bottom w:type="dxa" w:w="60"/>
              <w:right w:type="dxa" w:w="100"/>
            </w:tcMar>
          </w:tcPr>
          <w:p>
            <w:pPr>
              <w:spacing w:after="40"/>
            </w:pPr>
            <w:r>
              <w:rPr>
                <w:sz w:val="19"/>
                <w:szCs w:val="19"/>
              </w:rPr>
              <w:t xml:space="preserve">Expression et temps</w:t>
            </w:r>
          </w:p>
        </w:tc>
        <w:tc>
          <w:tcPr>
            <w:tcW w:type="dxa" w:w="771"/>
            <w:tcMar>
              <w:top w:type="dxa" w:w="60"/>
              <w:left w:type="dxa" w:w="100"/>
              <w:bottom w:type="dxa" w:w="60"/>
              <w:right w:type="dxa" w:w="100"/>
            </w:tcMar>
          </w:tcPr>
          <w:p>
            <w:pPr>
              <w:spacing w:after="40"/>
            </w:pPr>
            <w:r>
              <w:rPr>
                <w:sz w:val="19"/>
                <w:szCs w:val="19"/>
              </w:rPr>
              <w:t xml:space="preserve">2</w:t>
            </w:r>
          </w:p>
        </w:tc>
        <w:tc>
          <w:tcPr>
            <w:tcW w:type="dxa" w:w="5783"/>
            <w:tcMar>
              <w:top w:type="dxa" w:w="60"/>
              <w:left w:type="dxa" w:w="100"/>
              <w:bottom w:type="dxa" w:w="60"/>
              <w:right w:type="dxa" w:w="100"/>
            </w:tcMar>
          </w:tcPr>
          <w:p>
            <w:pPr>
              <w:spacing w:after="40"/>
            </w:pPr>
            <w:r>
              <w:rPr>
                <w:sz w:val="19"/>
                <w:szCs w:val="19"/>
              </w:rPr>
              <w:t xml:space="preserve">Message audible et intelligible, idées séparées ; durée de cinq minutes respectée.</w:t>
            </w:r>
          </w:p>
        </w:tc>
      </w:tr>
      <w:tr>
        <w:tc>
          <w:tcPr>
            <w:tcW w:type="dxa" w:w="3084"/>
            <w:shd w:fill="E8EEF5" w:color="auto" w:val="clear"/>
            <w:tcMar>
              <w:top w:type="dxa" w:w="60"/>
              <w:left w:type="dxa" w:w="100"/>
              <w:bottom w:type="dxa" w:w="60"/>
              <w:right w:type="dxa" w:w="100"/>
            </w:tcMar>
          </w:tcPr>
          <w:p>
            <w:pPr>
              <w:spacing w:after="40"/>
            </w:pPr>
            <w:r>
              <w:rPr>
                <w:sz w:val="19"/>
                <w:szCs w:val="19"/>
              </w:rPr>
              <w:t xml:space="preserve">Écoute et réponses</w:t>
            </w:r>
          </w:p>
        </w:tc>
        <w:tc>
          <w:tcPr>
            <w:tcW w:type="dxa" w:w="771"/>
            <w:shd w:fill="E8EEF5" w:color="auto" w:val="clear"/>
            <w:tcMar>
              <w:top w:type="dxa" w:w="60"/>
              <w:left w:type="dxa" w:w="100"/>
              <w:bottom w:type="dxa" w:w="60"/>
              <w:right w:type="dxa" w:w="100"/>
            </w:tcMar>
          </w:tcPr>
          <w:p>
            <w:pPr>
              <w:spacing w:after="40"/>
            </w:pPr>
            <w:r>
              <w:rPr>
                <w:sz w:val="19"/>
                <w:szCs w:val="19"/>
              </w:rPr>
              <w:t xml:space="preserve">4</w:t>
            </w:r>
          </w:p>
        </w:tc>
        <w:tc>
          <w:tcPr>
            <w:tcW w:type="dxa" w:w="5783"/>
            <w:shd w:fill="E8EEF5" w:color="auto" w:val="clear"/>
            <w:tcMar>
              <w:top w:type="dxa" w:w="60"/>
              <w:left w:type="dxa" w:w="100"/>
              <w:bottom w:type="dxa" w:w="60"/>
              <w:right w:type="dxa" w:w="100"/>
            </w:tcMar>
          </w:tcPr>
          <w:p>
            <w:pPr>
              <w:spacing w:after="40"/>
            </w:pPr>
            <w:r>
              <w:rPr>
                <w:sz w:val="19"/>
                <w:szCs w:val="19"/>
              </w:rPr>
              <w:t xml:space="preserve">Deux questions traitées directement ; adaptation au décideur et au client ; limites reconnues.</w:t>
            </w:r>
          </w:p>
        </w:tc>
      </w:tr>
    </w:tbl>
    <w:p>
      <w:pPr>
        <w:spacing w:after="120"/>
      </w:pPr>
    </w:p>
    <w:p>
      <w:pPr>
        <w:spacing w:after="120"/>
      </w:pPr>
      <w:r>
        <w:t xml:space="preserve">Même échelle que l’écrit (0 à 4) ; points = maximum × niveau / 4. Au moins un indice par critère. Les hésitations ne sont pénalisées que si elles nuisent à l’intelligibilité ou au temps. Ni accent, ni extraversion, ni regard soutenu exigés. Le dépassement de temps relève du seul critère « Expression et temps ».</w:t>
      </w:r>
    </w:p>
    <w:p>
      <w:pPr>
        <w:spacing w:after="120"/>
      </w:pPr>
      <w:r>
        <w:rPr>
          <w:b/>
          <w:bCs/>
        </w:rPr>
        <w:t xml:space="preserve">Fiabilité du jugement :</w:t>
      </w:r>
      <w:r>
        <w:t xml:space="preserve"> remplir les six niveaux dans la minute de transition ; vérifier les totaux après la séance ; en cas de jury parallèle, utiliser des exemples de niveaux convenus en amont.</w:t>
      </w:r>
    </w:p>
    <w:p>
      <w:pPr>
        <w:pStyle w:val="Heading1"/>
      </w:pPr>
      <w:r>
        <w:t xml:space="preserve">Fiche de prise de notes (une par candidat)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shd w:fill="1F3A5F" w:color="auto" w:val="clear"/>
            <w:tcMar>
              <w:top w:type="dxa" w:w="60"/>
              <w:left w:type="dxa" w:w="100"/>
              <w:bottom w:type="dxa" w:w="60"/>
              <w:right w:type="dxa" w:w="100"/>
            </w:tcMar>
          </w:tcPr>
          <w:p>
            <w:pPr>
              <w:spacing w:after="40"/>
            </w:pPr>
          </w:p>
        </w:tc>
        <w:tc>
          <w:tcPr>
            <w:tcW w:type="dxa" w:w="6554"/>
            <w:shd w:fill="1F3A5F"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sz w:val="19"/>
                <w:szCs w:val="19"/>
              </w:rPr>
              <w:t xml:space="preserve">Étudiant</w:t>
            </w:r>
          </w:p>
        </w:tc>
        <w:tc>
          <w:tcPr>
            <w:tcW w:type="dxa" w:w="6554"/>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Option recommandée</w:t>
            </w:r>
          </w:p>
        </w:tc>
        <w:tc>
          <w:tcPr>
            <w:tcW w:type="dxa" w:w="6554"/>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sz w:val="19"/>
                <w:szCs w:val="19"/>
              </w:rPr>
              <w:t xml:space="preserve">Demande entendue</w:t>
            </w:r>
          </w:p>
        </w:tc>
        <w:tc>
          <w:tcPr>
            <w:tcW w:type="dxa" w:w="6554"/>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Compromis reconnu</w:t>
            </w:r>
          </w:p>
        </w:tc>
        <w:tc>
          <w:tcPr>
            <w:tcW w:type="dxa" w:w="6554"/>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sz w:val="19"/>
                <w:szCs w:val="19"/>
              </w:rPr>
              <w:t xml:space="preserve">Réponse 1</w:t>
            </w:r>
          </w:p>
        </w:tc>
        <w:tc>
          <w:tcPr>
            <w:tcW w:type="dxa" w:w="6554"/>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Réponse 2</w:t>
            </w:r>
          </w:p>
        </w:tc>
        <w:tc>
          <w:tcPr>
            <w:tcW w:type="dxa" w:w="6554"/>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sz w:val="19"/>
                <w:szCs w:val="19"/>
              </w:rPr>
              <w:t xml:space="preserve">Un acquis</w:t>
            </w:r>
          </w:p>
        </w:tc>
        <w:tc>
          <w:tcPr>
            <w:tcW w:type="dxa" w:w="6554"/>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Une priorité</w:t>
            </w:r>
          </w:p>
        </w:tc>
        <w:tc>
          <w:tcPr>
            <w:tcW w:type="dxa" w:w="6554"/>
            <w:shd w:fill="E8EEF5" w:color="auto" w:val="clear"/>
            <w:tcMar>
              <w:top w:type="dxa" w:w="60"/>
              <w:left w:type="dxa" w:w="100"/>
              <w:bottom w:type="dxa" w:w="60"/>
              <w:right w:type="dxa" w:w="100"/>
            </w:tcMar>
          </w:tcPr>
          <w:p>
            <w:pPr>
              <w:spacing w:after="40"/>
            </w:pP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963"/>
        <w:gridCol w:w="963"/>
        <w:gridCol w:w="4628"/>
      </w:tblGrid>
      <w:tr>
        <w:trPr>
          <w:tblHeader/>
        </w:trPr>
        <w:tc>
          <w:tcPr>
            <w:tcW w:type="dxa" w:w="3084"/>
            <w:shd w:fill="1F3A5F" w:color="auto" w:val="clear"/>
            <w:tcMar>
              <w:top w:type="dxa" w:w="60"/>
              <w:left w:type="dxa" w:w="100"/>
              <w:bottom w:type="dxa" w:w="60"/>
              <w:right w:type="dxa" w:w="100"/>
            </w:tcMar>
          </w:tcPr>
          <w:p>
            <w:pPr>
              <w:spacing w:after="40"/>
            </w:pPr>
            <w:r>
              <w:rPr>
                <w:b/>
                <w:bCs/>
                <w:color w:val="FFFFFF"/>
                <w:sz w:val="19"/>
                <w:szCs w:val="19"/>
              </w:rPr>
              <w:t xml:space="preserve">Critère</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Niveau</w:t>
            </w:r>
          </w:p>
        </w:tc>
        <w:tc>
          <w:tcPr>
            <w:tcW w:type="dxa" w:w="963"/>
            <w:shd w:fill="1F3A5F" w:color="auto" w:val="clear"/>
            <w:tcMar>
              <w:top w:type="dxa" w:w="60"/>
              <w:left w:type="dxa" w:w="100"/>
              <w:bottom w:type="dxa" w:w="60"/>
              <w:right w:type="dxa" w:w="100"/>
            </w:tcMar>
          </w:tcPr>
          <w:p>
            <w:pPr>
              <w:spacing w:after="40"/>
            </w:pPr>
            <w:r>
              <w:rPr>
                <w:b/>
                <w:bCs/>
                <w:color w:val="FFFFFF"/>
                <w:sz w:val="19"/>
                <w:szCs w:val="19"/>
              </w:rPr>
              <w:t xml:space="preserve">Points</w:t>
            </w:r>
          </w:p>
        </w:tc>
        <w:tc>
          <w:tcPr>
            <w:tcW w:type="dxa" w:w="4628"/>
            <w:shd w:fill="1F3A5F" w:color="auto" w:val="clear"/>
            <w:tcMar>
              <w:top w:type="dxa" w:w="60"/>
              <w:left w:type="dxa" w:w="100"/>
              <w:bottom w:type="dxa" w:w="60"/>
              <w:right w:type="dxa" w:w="100"/>
            </w:tcMar>
          </w:tcPr>
          <w:p>
            <w:pPr>
              <w:spacing w:after="40"/>
            </w:pPr>
            <w:r>
              <w:rPr>
                <w:b/>
                <w:bCs/>
                <w:color w:val="FFFFFF"/>
                <w:sz w:val="19"/>
                <w:szCs w:val="19"/>
              </w:rPr>
              <w:t xml:space="preserve">Indice observé</w:t>
            </w:r>
          </w:p>
        </w:tc>
      </w:tr>
      <w:tr>
        <w:tc>
          <w:tcPr>
            <w:tcW w:type="dxa" w:w="3084"/>
            <w:tcMar>
              <w:top w:type="dxa" w:w="60"/>
              <w:left w:type="dxa" w:w="100"/>
              <w:bottom w:type="dxa" w:w="60"/>
              <w:right w:type="dxa" w:w="100"/>
            </w:tcMar>
          </w:tcPr>
          <w:p>
            <w:pPr>
              <w:spacing w:after="40"/>
            </w:pPr>
            <w:r>
              <w:rPr>
                <w:sz w:val="19"/>
                <w:szCs w:val="19"/>
              </w:rPr>
              <w:t xml:space="preserve">Décision et positionnement (/4)</w:t>
            </w:r>
          </w:p>
        </w:tc>
        <w:tc>
          <w:tcPr>
            <w:tcW w:type="dxa" w:w="963"/>
            <w:tcMar>
              <w:top w:type="dxa" w:w="60"/>
              <w:left w:type="dxa" w:w="100"/>
              <w:bottom w:type="dxa" w:w="60"/>
              <w:right w:type="dxa" w:w="100"/>
            </w:tcMar>
          </w:tcPr>
          <w:p>
            <w:pPr>
              <w:spacing w:after="40"/>
            </w:pPr>
          </w:p>
        </w:tc>
        <w:tc>
          <w:tcPr>
            <w:tcW w:type="dxa" w:w="963"/>
            <w:tcMar>
              <w:top w:type="dxa" w:w="60"/>
              <w:left w:type="dxa" w:w="100"/>
              <w:bottom w:type="dxa" w:w="60"/>
              <w:right w:type="dxa" w:w="100"/>
            </w:tcMar>
          </w:tcPr>
          <w:p>
            <w:pPr>
              <w:spacing w:after="40"/>
            </w:pPr>
          </w:p>
        </w:tc>
        <w:tc>
          <w:tcPr>
            <w:tcW w:type="dxa" w:w="4628"/>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Arbitrage et impact métier (/4)</w:t>
            </w:r>
          </w:p>
        </w:tc>
        <w:tc>
          <w:tcPr>
            <w:tcW w:type="dxa" w:w="963"/>
            <w:shd w:fill="E8EEF5" w:color="auto" w:val="clear"/>
            <w:tcMar>
              <w:top w:type="dxa" w:w="60"/>
              <w:left w:type="dxa" w:w="100"/>
              <w:bottom w:type="dxa" w:w="60"/>
              <w:right w:type="dxa" w:w="100"/>
            </w:tcMar>
          </w:tcPr>
          <w:p>
            <w:pPr>
              <w:spacing w:after="40"/>
            </w:pPr>
          </w:p>
        </w:tc>
        <w:tc>
          <w:tcPr>
            <w:tcW w:type="dxa" w:w="963"/>
            <w:shd w:fill="E8EEF5" w:color="auto" w:val="clear"/>
            <w:tcMar>
              <w:top w:type="dxa" w:w="60"/>
              <w:left w:type="dxa" w:w="100"/>
              <w:bottom w:type="dxa" w:w="60"/>
              <w:right w:type="dxa" w:w="100"/>
            </w:tcMar>
          </w:tcPr>
          <w:p>
            <w:pPr>
              <w:spacing w:after="40"/>
            </w:pPr>
          </w:p>
        </w:tc>
        <w:tc>
          <w:tcPr>
            <w:tcW w:type="dxa" w:w="4628"/>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sz w:val="19"/>
                <w:szCs w:val="19"/>
              </w:rPr>
              <w:t xml:space="preserve">Fiabilité (/3)</w:t>
            </w:r>
          </w:p>
        </w:tc>
        <w:tc>
          <w:tcPr>
            <w:tcW w:type="dxa" w:w="963"/>
            <w:tcMar>
              <w:top w:type="dxa" w:w="60"/>
              <w:left w:type="dxa" w:w="100"/>
              <w:bottom w:type="dxa" w:w="60"/>
              <w:right w:type="dxa" w:w="100"/>
            </w:tcMar>
          </w:tcPr>
          <w:p>
            <w:pPr>
              <w:spacing w:after="40"/>
            </w:pPr>
          </w:p>
        </w:tc>
        <w:tc>
          <w:tcPr>
            <w:tcW w:type="dxa" w:w="963"/>
            <w:tcMar>
              <w:top w:type="dxa" w:w="60"/>
              <w:left w:type="dxa" w:w="100"/>
              <w:bottom w:type="dxa" w:w="60"/>
              <w:right w:type="dxa" w:w="100"/>
            </w:tcMar>
          </w:tcPr>
          <w:p>
            <w:pPr>
              <w:spacing w:after="40"/>
            </w:pPr>
          </w:p>
        </w:tc>
        <w:tc>
          <w:tcPr>
            <w:tcW w:type="dxa" w:w="4628"/>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Structure et visuel (/3)</w:t>
            </w:r>
          </w:p>
        </w:tc>
        <w:tc>
          <w:tcPr>
            <w:tcW w:type="dxa" w:w="963"/>
            <w:shd w:fill="E8EEF5" w:color="auto" w:val="clear"/>
            <w:tcMar>
              <w:top w:type="dxa" w:w="60"/>
              <w:left w:type="dxa" w:w="100"/>
              <w:bottom w:type="dxa" w:w="60"/>
              <w:right w:type="dxa" w:w="100"/>
            </w:tcMar>
          </w:tcPr>
          <w:p>
            <w:pPr>
              <w:spacing w:after="40"/>
            </w:pPr>
          </w:p>
        </w:tc>
        <w:tc>
          <w:tcPr>
            <w:tcW w:type="dxa" w:w="963"/>
            <w:shd w:fill="E8EEF5" w:color="auto" w:val="clear"/>
            <w:tcMar>
              <w:top w:type="dxa" w:w="60"/>
              <w:left w:type="dxa" w:w="100"/>
              <w:bottom w:type="dxa" w:w="60"/>
              <w:right w:type="dxa" w:w="100"/>
            </w:tcMar>
          </w:tcPr>
          <w:p>
            <w:pPr>
              <w:spacing w:after="40"/>
            </w:pPr>
          </w:p>
        </w:tc>
        <w:tc>
          <w:tcPr>
            <w:tcW w:type="dxa" w:w="4628"/>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sz w:val="19"/>
                <w:szCs w:val="19"/>
              </w:rPr>
              <w:t xml:space="preserve">Expression et temps (/2)</w:t>
            </w:r>
          </w:p>
        </w:tc>
        <w:tc>
          <w:tcPr>
            <w:tcW w:type="dxa" w:w="963"/>
            <w:tcMar>
              <w:top w:type="dxa" w:w="60"/>
              <w:left w:type="dxa" w:w="100"/>
              <w:bottom w:type="dxa" w:w="60"/>
              <w:right w:type="dxa" w:w="100"/>
            </w:tcMar>
          </w:tcPr>
          <w:p>
            <w:pPr>
              <w:spacing w:after="40"/>
            </w:pPr>
          </w:p>
        </w:tc>
        <w:tc>
          <w:tcPr>
            <w:tcW w:type="dxa" w:w="963"/>
            <w:tcMar>
              <w:top w:type="dxa" w:w="60"/>
              <w:left w:type="dxa" w:w="100"/>
              <w:bottom w:type="dxa" w:w="60"/>
              <w:right w:type="dxa" w:w="100"/>
            </w:tcMar>
          </w:tcPr>
          <w:p>
            <w:pPr>
              <w:spacing w:after="40"/>
            </w:pPr>
          </w:p>
        </w:tc>
        <w:tc>
          <w:tcPr>
            <w:tcW w:type="dxa" w:w="4628"/>
            <w:tcMar>
              <w:top w:type="dxa" w:w="60"/>
              <w:left w:type="dxa" w:w="100"/>
              <w:bottom w:type="dxa" w:w="60"/>
              <w:right w:type="dxa" w:w="100"/>
            </w:tcMar>
          </w:tcPr>
          <w:p>
            <w:pPr>
              <w:spacing w:after="40"/>
            </w:pPr>
          </w:p>
        </w:tc>
      </w:tr>
      <w:tr>
        <w:tc>
          <w:tcPr>
            <w:tcW w:type="dxa" w:w="3084"/>
            <w:shd w:fill="E8EEF5" w:color="auto" w:val="clear"/>
            <w:tcMar>
              <w:top w:type="dxa" w:w="60"/>
              <w:left w:type="dxa" w:w="100"/>
              <w:bottom w:type="dxa" w:w="60"/>
              <w:right w:type="dxa" w:w="100"/>
            </w:tcMar>
          </w:tcPr>
          <w:p>
            <w:pPr>
              <w:spacing w:after="40"/>
            </w:pPr>
            <w:r>
              <w:rPr>
                <w:sz w:val="19"/>
                <w:szCs w:val="19"/>
              </w:rPr>
              <w:t xml:space="preserve">Écoute et réponses (/4)</w:t>
            </w:r>
          </w:p>
        </w:tc>
        <w:tc>
          <w:tcPr>
            <w:tcW w:type="dxa" w:w="963"/>
            <w:shd w:fill="E8EEF5" w:color="auto" w:val="clear"/>
            <w:tcMar>
              <w:top w:type="dxa" w:w="60"/>
              <w:left w:type="dxa" w:w="100"/>
              <w:bottom w:type="dxa" w:w="60"/>
              <w:right w:type="dxa" w:w="100"/>
            </w:tcMar>
          </w:tcPr>
          <w:p>
            <w:pPr>
              <w:spacing w:after="40"/>
            </w:pPr>
          </w:p>
        </w:tc>
        <w:tc>
          <w:tcPr>
            <w:tcW w:type="dxa" w:w="963"/>
            <w:shd w:fill="E8EEF5" w:color="auto" w:val="clear"/>
            <w:tcMar>
              <w:top w:type="dxa" w:w="60"/>
              <w:left w:type="dxa" w:w="100"/>
              <w:bottom w:type="dxa" w:w="60"/>
              <w:right w:type="dxa" w:w="100"/>
            </w:tcMar>
          </w:tcPr>
          <w:p>
            <w:pPr>
              <w:spacing w:after="40"/>
            </w:pPr>
          </w:p>
        </w:tc>
        <w:tc>
          <w:tcPr>
            <w:tcW w:type="dxa" w:w="4628"/>
            <w:shd w:fill="E8EEF5" w:color="auto" w:val="clear"/>
            <w:tcMar>
              <w:top w:type="dxa" w:w="60"/>
              <w:left w:type="dxa" w:w="100"/>
              <w:bottom w:type="dxa" w:w="60"/>
              <w:right w:type="dxa" w:w="100"/>
            </w:tcMar>
          </w:tcPr>
          <w:p>
            <w:pPr>
              <w:spacing w:after="40"/>
            </w:pPr>
          </w:p>
        </w:tc>
      </w:tr>
      <w:tr>
        <w:tc>
          <w:tcPr>
            <w:tcW w:type="dxa" w:w="3084"/>
            <w:tcMar>
              <w:top w:type="dxa" w:w="60"/>
              <w:left w:type="dxa" w:w="100"/>
              <w:bottom w:type="dxa" w:w="60"/>
              <w:right w:type="dxa" w:w="100"/>
            </w:tcMar>
          </w:tcPr>
          <w:p>
            <w:pPr>
              <w:spacing w:after="40"/>
            </w:pPr>
            <w:r>
              <w:rPr>
                <w:b/>
                <w:bCs/>
                <w:sz w:val="19"/>
                <w:szCs w:val="19"/>
              </w:rPr>
              <w:t xml:space="preserve">Total /20</w:t>
            </w:r>
          </w:p>
        </w:tc>
        <w:tc>
          <w:tcPr>
            <w:tcW w:type="dxa" w:w="963"/>
            <w:tcMar>
              <w:top w:type="dxa" w:w="60"/>
              <w:left w:type="dxa" w:w="100"/>
              <w:bottom w:type="dxa" w:w="60"/>
              <w:right w:type="dxa" w:w="100"/>
            </w:tcMar>
          </w:tcPr>
          <w:p>
            <w:pPr>
              <w:spacing w:after="40"/>
            </w:pPr>
          </w:p>
        </w:tc>
        <w:tc>
          <w:tcPr>
            <w:tcW w:type="dxa" w:w="963"/>
            <w:tcMar>
              <w:top w:type="dxa" w:w="60"/>
              <w:left w:type="dxa" w:w="100"/>
              <w:bottom w:type="dxa" w:w="60"/>
              <w:right w:type="dxa" w:w="100"/>
            </w:tcMar>
          </w:tcPr>
          <w:p>
            <w:pPr>
              <w:spacing w:after="40"/>
            </w:pPr>
          </w:p>
        </w:tc>
        <w:tc>
          <w:tcPr>
            <w:tcW w:type="dxa" w:w="4628"/>
            <w:tcMar>
              <w:top w:type="dxa" w:w="60"/>
              <w:left w:type="dxa" w:w="100"/>
              <w:bottom w:type="dxa" w:w="60"/>
              <w:right w:type="dxa" w:w="100"/>
            </w:tcMar>
          </w:tcPr>
          <w:p>
            <w:pPr>
              <w:spacing w:after="40"/>
            </w:pP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88888"/>
        <w:sz w:val="16"/>
        <w:szCs w:val="16"/>
      </w:rPr>
      <w:t xml:space="preserve">FORMATION &amp; CONSEIL | Nizam BOURHANI · COEXCL · Oral SELENE — dossier du jury · page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A5F"/>
      <w:sz w:val="30"/>
      <w:szCs w:val="30"/>
    </w:rPr>
  </w:style>
  <w:style w:type="paragraph" w:styleId="Heading2">
    <w:name w:val="Heading 2"/>
    <w:basedOn w:val="Normal"/>
    <w:next w:val="Normal"/>
    <w:qFormat/>
    <w:pPr>
      <w:spacing w:after="100" w:before="240"/>
      <w:outlineLvl w:val="1"/>
    </w:pPr>
    <w:rPr>
      <w:b/>
      <w:bCs/>
      <w:color w:val="1F3A5F"/>
      <w:sz w:val="25"/>
      <w:szCs w:val="25"/>
    </w:rPr>
  </w:style>
  <w:style w:type="paragraph" w:styleId="Heading3">
    <w:name w:val="Heading 3"/>
    <w:basedOn w:val="Normal"/>
    <w:next w:val="Normal"/>
    <w:qFormat/>
    <w:pPr>
      <w:spacing w:after="80" w:before="180"/>
      <w:outlineLvl w:val="2"/>
    </w:pPr>
    <w:rPr>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Oral SELENE — dossier du jury</dc:title>
  <dc:creator>Nizam BOURHANI</dc:creator>
  <cp:lastModifiedBy>Un-named</cp:lastModifiedBy>
  <cp:revision>1</cp:revision>
  <dcterms:created xsi:type="dcterms:W3CDTF">2026-10-06T18:11:04.165Z</dcterms:created>
  <dcterms:modified xsi:type="dcterms:W3CDTF">2026-10-06T18:11:04.165Z</dcterms:modified>
</cp:coreProperties>
</file>

<file path=docProps/custom.xml><?xml version="1.0" encoding="utf-8"?>
<Properties xmlns="http://schemas.openxmlformats.org/officeDocument/2006/custom-properties" xmlns:vt="http://schemas.openxmlformats.org/officeDocument/2006/docPropsVTypes"/>
</file>