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66666"/>
          <w:sz w:val="18"/>
          <w:szCs w:val="18"/>
        </w:rPr>
        <w:t xml:space="preserve">EPITA Paris · MSc Informatique &amp; Management · Parcours Cybersécurité (MSc2, S3 2026-2027)</w:t>
      </w:r>
    </w:p>
    <w:p>
      <w:pPr>
        <w:spacing w:after="80"/>
      </w:pPr>
      <w:r>
        <w:rPr>
          <w:b/>
          <w:bCs/>
          <w:color w:val="1F3A5F"/>
          <w:sz w:val="40"/>
          <w:szCs w:val="40"/>
        </w:rPr>
        <w:t xml:space="preserve">Épreuve de rattrapage — cas VESTA</w:t>
      </w:r>
    </w:p>
    <w:p>
      <w:pPr>
        <w:spacing w:after="120"/>
      </w:pPr>
      <w:r>
        <w:rPr>
          <w:color w:val="444444"/>
          <w:sz w:val="24"/>
          <w:szCs w:val="24"/>
        </w:rPr>
        <w:t xml:space="preserve">Seconde session — mêmes acquis, nouveau cas</w:t>
      </w:r>
    </w:p>
    <w:p>
      <w:pPr>
        <w:pBdr>
          <w:bottom w:val="single" w:color="1F3A5F" w:sz="8" w:space="4"/>
        </w:pBdr>
        <w:spacing w:after="240"/>
      </w:pPr>
      <w:r>
        <w:rPr>
          <w:sz w:val="19"/>
          <w:szCs w:val="19"/>
        </w:rPr>
        <w:t xml:space="preserve">ECUE </w:t>
      </w:r>
      <w:r>
        <w:rPr>
          <w:b/>
          <w:bCs/>
          <w:sz w:val="19"/>
          <w:szCs w:val="19"/>
        </w:rPr>
        <w:t xml:space="preserve">COEXCL</w:t>
      </w:r>
      <w:r>
        <w:rPr>
          <w:sz w:val="19"/>
          <w:szCs w:val="19"/>
        </w:rPr>
        <w:t xml:space="preserve"> — Communication exécutive (C-Level) · 20 h · 2 ECTS · Intervenant : BOURHANI Aboubakar Nizam</w:t>
      </w:r>
    </w:p>
    <w:p>
      <w:pPr>
        <w:shd w:fill="FDE2E2" w:color="auto" w:val="clear"/>
        <w:spacing w:after="200"/>
      </w:pPr>
      <w:r>
        <w:rPr>
          <w:b/>
          <w:bCs/>
          <w:sz w:val="19"/>
          <w:szCs w:val="19"/>
        </w:rPr>
        <w:t xml:space="preserve">RÉSERVÉ FORMATEUR ET REVUE PÉDAGOGIQUE — ne pas diffuser aux étudiants</w:t>
      </w:r>
    </w:p>
    <w:p>
      <w:pPr>
        <w:pStyle w:val="Heading1"/>
      </w:pPr>
      <w:r>
        <w:t xml:space="preserve">Format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1156"/>
        <w:gridCol w:w="5977"/>
      </w:tblGrid>
      <w:tr>
        <w:trPr>
          <w:tblHeader/>
        </w:trPr>
        <w:tc>
          <w:tcPr>
            <w:tcW w:type="dxa" w:w="250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Partie</w:t>
            </w:r>
          </w:p>
        </w:tc>
        <w:tc>
          <w:tcPr>
            <w:tcW w:type="dxa" w:w="115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Poids</w:t>
            </w:r>
          </w:p>
        </w:tc>
        <w:tc>
          <w:tcPr>
            <w:tcW w:type="dxa" w:w="597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Modalité</w:t>
            </w:r>
          </w:p>
        </w:tc>
      </w:tr>
      <w:tr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Note écrite</w:t>
            </w:r>
          </w:p>
        </w:tc>
        <w:tc>
          <w:tcPr>
            <w:tcW w:type="dxa" w:w="1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40 %</w:t>
            </w:r>
          </w:p>
        </w:tc>
        <w:tc>
          <w:tcPr>
            <w:tcW w:type="dxa" w:w="59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60 minutes, individuel, sans IA ni recherche en ligne. Une Note Flash d’une page intégrant un tableau comparatif, puis un message de 60 à 80 mots aux salariés.</w:t>
            </w:r>
          </w:p>
        </w:tc>
      </w:tr>
      <w:tr>
        <w:tc>
          <w:tcPr>
            <w:tcW w:type="dxa" w:w="250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 Préparation de l’oral</w:t>
            </w:r>
          </w:p>
        </w:tc>
        <w:tc>
          <w:tcPr>
            <w:tcW w:type="dxa" w:w="1156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97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 minutes, à partir de la note rédigée. Une slide ou une page A4, notes autorisées.</w:t>
            </w:r>
          </w:p>
        </w:tc>
      </w:tr>
      <w:tr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3. Oral</w:t>
            </w:r>
          </w:p>
        </w:tc>
        <w:tc>
          <w:tcPr>
            <w:tcW w:type="dxa" w:w="1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60 %</w:t>
            </w:r>
          </w:p>
        </w:tc>
        <w:tc>
          <w:tcPr>
            <w:tcW w:type="dxa" w:w="59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minutes de pitch, puis 3 minutes pour deux questions communes.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Note de rattrapage /20 = 0,4 × écrit + 0,6 × oral. Son articulation avec la note finale suit le règlement EPITA (à confirmer). Le cas est remis au début de l’épreuve ; le format et les grilles sont communiqués à l’avance.</w:t>
      </w:r>
    </w:p>
    <w:p>
      <w:pPr>
        <w:pStyle w:val="Heading1"/>
      </w:pPr>
      <w:r>
        <w:t xml:space="preserve">Le cas VESTA (cas fictif)</w:t>
      </w:r>
    </w:p>
    <w:p>
      <w:pPr>
        <w:spacing w:after="120"/>
      </w:pPr>
      <w:r>
        <w:t xml:space="preserve">Il est 9 h. VESTA, réseau de douze agences de location de matériel, utilise un logiciel de réservation partagé. Hier, un faux courriel imitant l’éditeur du logiciel a été reçu par 40 salariés. Trois salariés ont signalé avoir saisi leur mot de passe sur une fausse page ; leurs trois mots de passe ont été réinitialisés. Aucune connexion frauduleuse au logiciel n’est établie à ce stade, mais le journal des connexions n’est conservé que sept jours. On ne sait pas si d’autres salariés ont saisi leur mot de passe sans le signaler.</w:t>
      </w:r>
    </w:p>
    <w:p>
      <w:pPr>
        <w:spacing w:after="120"/>
      </w:pPr>
      <w:r>
        <w:t xml:space="preserve">La directrice générale peut autoriser jusqu’à 6 000 € de prestations externes et 15 heures de travail interne cette semaine. VESTA présente son offre de réservation en ligne lors d’un salon professionnel dans cinq jours ouvrés.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 A — authentification renforcée</w:t>
            </w:r>
          </w:p>
        </w:tc>
        <w:tc>
          <w:tcPr>
            <w:tcW w:type="dxa" w:w="481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 B — analyse seule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Activer une authentification renforcée pour les 40 comptes et faire analyser les journaux par un prestataire.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Faire analyser les journaux par un prestataire et envoyer un rappel de vigilance aux salariés.</w:t>
            </w:r>
          </w:p>
        </w:tc>
      </w:tr>
      <w:tr>
        <w:tc>
          <w:tcPr>
            <w:tcW w:type="dxa" w:w="481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Coût externe : 5 500 €. Déploiement estimé : 4 jours ouvrés. Charge interne : 12 h.</w:t>
            </w:r>
          </w:p>
        </w:tc>
        <w:tc>
          <w:tcPr>
            <w:tcW w:type="dxa" w:w="481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Coût externe : 2 000 €. Résultats de l’analyse estimés sous 2 jours ouvrés. Charge interne : 3 h.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Chaque agence perd l’accès à la réservation en ligne pendant 1 h lors de la bascule ; créneaux à confirmer.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Aucune interruption. L’authentification renforcée est reportée et n’est pas budgétée.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Les offres sont indépendantes : choisir B puis commander A plus tard coûterait 7 500 € externes, au-delà de l’enveloppe actuelle. Aucune option ne garantit qu’aucun compte n’a été utilisé. Le coût d’une heure de fermeture d’agence et le coût du temps interne ne sont pas fournis.</w:t>
      </w:r>
    </w:p>
    <w:p>
      <w:pPr>
        <w:spacing w:after="120"/>
      </w:pPr>
      <w:r>
        <w:rPr>
          <w:b/>
          <w:bCs/>
        </w:rPr>
        <w:t xml:space="preserve">Votre rôle :</w:t>
      </w:r>
      <w:r>
        <w:t xml:space="preserve"> conseiller la directrice générale. Recommandez A ou B, demandez l’accord nécessaire, reconnaissez le compromis et proposez le prochain point.</w:t>
      </w:r>
    </w:p>
    <w:p>
      <w:pPr>
        <w:pStyle w:val="Heading1"/>
      </w:pPr>
      <w:r>
        <w:t xml:space="preserve">Questions communes de l’oral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81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 que la réponse doit montrer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« Quel avantage de l’option écartée acceptez-vous de perdre, et pourquoi ? »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Compromis réel reconnu et relié à une priorité de direction.</w:t>
            </w:r>
          </w:p>
        </w:tc>
      </w:tr>
      <w:tr>
        <w:tc>
          <w:tcPr>
            <w:tcW w:type="dxa" w:w="481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 « Un responsable d’agence vous demande : “Pouvez-vous me garantir que nos réservations clients n’ont pas été consultées ?” Que lui répondez-vous ? »</w:t>
            </w:r>
          </w:p>
        </w:tc>
        <w:tc>
          <w:tcPr>
            <w:tcW w:type="dxa" w:w="481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Message adapté ; aucune garantie non fondée ; ce qui est connu, ce qui est vérifié, prochain point.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Corrigé (ne pas diffuser)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deux options respectent l’enveloppe (5 500 € et 2 000 € ≤ 6 000 € ; 12 h et 3 h ≤ 15 h). A s’achève avant le salon selon l’estimation (4 jours &lt;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traite la cause probable (mots de passe exposés) mais coûte une heure de réservation en ligne par agence et mobilise 12 des 15 heures internes. B est rapide et sans interruption, mais laisse les comptes protégés par un simple mot de passe et reporte la mesure sans budget.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puis A = 7 500 € : dépasse de 1 500 € l’enveloppe autorisable ; une nouvelle autorisation serait nécessaire.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 « aucun compte n’a été utilisé » ni « 3 comptes sur 40 = 7,5 % du personnel piégé » ne peuvent être affirmés : d’autres saisies non signalées sont possibles. Le délai de conservation de sept jours rend l’analyse urgente dans les deux options.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deux choix sont recevables s’ils sont justifiés et si le compromis est reconnu.</w:t>
      </w:r>
    </w:p>
    <w:p>
      <w:pPr>
        <w:pStyle w:val="Heading1"/>
      </w:pPr>
      <w:r>
        <w:t xml:space="preserve">Grilles</w:t>
      </w:r>
    </w:p>
    <w:p>
      <w:pPr>
        <w:pStyle w:val="Heading2"/>
      </w:pPr>
      <w:r>
        <w:t xml:space="preserve">Écrit (/20, pondéré à 40 %)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771"/>
        <w:gridCol w:w="5783"/>
      </w:tblGrid>
      <w:tr>
        <w:trPr>
          <w:tblHeader/>
        </w:trPr>
        <w:tc>
          <w:tcPr>
            <w:tcW w:type="dxa" w:w="308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77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Max.</w:t>
            </w:r>
          </w:p>
        </w:tc>
        <w:tc>
          <w:tcPr>
            <w:tcW w:type="dxa" w:w="578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Preuve attendue au niveau 4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Décision et Note Flash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Accord demandé en tête ; recommandation, moyens, limites et prochain point.</w:t>
            </w:r>
          </w:p>
        </w:tc>
      </w:tr>
      <w:tr>
        <w:tc>
          <w:tcPr>
            <w:tcW w:type="dxa" w:w="308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Arbitrage métier</w:t>
            </w:r>
          </w:p>
        </w:tc>
        <w:tc>
          <w:tcPr>
            <w:tcW w:type="dxa" w:w="77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78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Tableau comparatif exact ; deux raisons et un avantage de l’autre option.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Fiabilité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Chiffres et incertitudes exacts ; aucune garantie ni extrapolation inventée.</w:t>
            </w:r>
          </w:p>
        </w:tc>
      </w:tr>
      <w:tr>
        <w:tc>
          <w:tcPr>
            <w:tcW w:type="dxa" w:w="308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Message aux salariés</w:t>
            </w:r>
          </w:p>
        </w:tc>
        <w:tc>
          <w:tcPr>
            <w:tcW w:type="dxa" w:w="77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78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Consigne utile, faits cohérents avec la note, prochain point.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Clarté et concision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Une page, hiérarchie claire, vocabulaire accessible.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Oral (/20, pondéré à 60 %)</w:t>
      </w:r>
    </w:p>
    <w:p>
      <w:pPr>
        <w:spacing w:after="120"/>
      </w:pPr>
      <w:r>
        <w:t xml:space="preserve">Grille identique à celle de l’oral SELENE (document R3) : décision et positionnement 4 • arbitrage et impact métier 4 • fiabilité 3 • structure et visuel 3 • expression et temps 2 • écoute et réponses 4. Même échelle de 0 à 4.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FORMATION &amp; CONSEIL | Nizam BOURHANI · COEXCL · Épreuve de rattrapage — cas VESTA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Épreuve de rattrapage — cas VESTA</dc:title>
  <dc:creator>Nizam BOURHANI</dc:creator>
  <cp:lastModifiedBy>Un-named</cp:lastModifiedBy>
  <cp:revision>1</cp:revision>
  <dcterms:created xsi:type="dcterms:W3CDTF">2026-10-06T18:11:04.235Z</dcterms:created>
  <dcterms:modified xsi:type="dcterms:W3CDTF">2026-10-06T18:11:04.235Z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