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color w:val="666666"/>
          <w:sz w:val="18"/>
          <w:szCs w:val="18"/>
        </w:rPr>
        <w:t xml:space="preserve">EPITA Paris · MSc Informatique &amp; Management · Parcours Cybersécurité (MSc2, S3 2026-2027)</w:t>
      </w:r>
    </w:p>
    <w:p>
      <w:pPr>
        <w:spacing w:after="80"/>
      </w:pPr>
      <w:r>
        <w:rPr>
          <w:b/>
          <w:bCs/>
          <w:color w:val="1F3A5F"/>
          <w:sz w:val="40"/>
          <w:szCs w:val="40"/>
        </w:rPr>
        <w:t xml:space="preserve">Guide formateur — 16 octobre 2026</w:t>
      </w:r>
    </w:p>
    <w:p>
      <w:pPr>
        <w:spacing w:after="120"/>
      </w:pPr>
      <w:r>
        <w:rPr>
          <w:color w:val="444444"/>
          <w:sz w:val="24"/>
          <w:szCs w:val="24"/>
        </w:rPr>
        <w:t xml:space="preserve">De la méthode à l’aisance exécutive — ateliers A1 à A8, avec corrigés (7 h)</w:t>
      </w:r>
    </w:p>
    <w:p>
      <w:pPr>
        <w:pBdr>
          <w:bottom w:val="single" w:color="1F3A5F" w:sz="8" w:space="4"/>
        </w:pBdr>
        <w:spacing w:after="240"/>
      </w:pPr>
      <w:r>
        <w:rPr>
          <w:sz w:val="19"/>
          <w:szCs w:val="19"/>
        </w:rPr>
        <w:t xml:space="preserve">ECUE </w:t>
      </w:r>
      <w:r>
        <w:rPr>
          <w:b/>
          <w:bCs/>
          <w:sz w:val="19"/>
          <w:szCs w:val="19"/>
        </w:rPr>
        <w:t xml:space="preserve">COEXCL</w:t>
      </w:r>
      <w:r>
        <w:rPr>
          <w:sz w:val="19"/>
          <w:szCs w:val="19"/>
        </w:rPr>
        <w:t xml:space="preserve"> — Communication exécutive (C-Level) · 20 h · 2 ECTS · Intervenant : BOURHANI Aboubakar Nizam</w:t>
      </w:r>
    </w:p>
    <w:p>
      <w:pPr>
        <w:shd w:fill="FDE2E2" w:color="auto" w:val="clear"/>
        <w:spacing w:after="200"/>
      </w:pPr>
      <w:r>
        <w:rPr>
          <w:b/>
          <w:bCs/>
          <w:sz w:val="19"/>
          <w:szCs w:val="19"/>
        </w:rPr>
        <w:t xml:space="preserve">RÉSERVÉ FORMATEUR ET REVUE PÉDAGOGIQUE — ne pas diffuser aux étudiants</w:t>
      </w:r>
    </w:p>
    <w:p>
      <w:pPr>
        <w:spacing w:after="120"/>
      </w:pPr>
      <w:r>
        <w:t xml:space="preserve">Fond des ateliers validé par l’intervenant (Lot 1 du 6 octobre). Cette version intègre les horaires 9 h–13 h / 14 h–17 h, et aligne le ticket de sortie et les rôles du cas ALTA sur le livret étudiant.</w:t>
      </w:r>
    </w:p>
    <w:p>
      <w:pPr>
        <w:pStyle w:val="Heading1"/>
      </w:pPr>
      <w:r>
        <w:t xml:space="preserve">Le sens de la journée</w:t>
      </w:r>
    </w:p>
    <w:p>
      <w:pPr>
        <w:spacing w:after="120"/>
      </w:pPr>
      <w:r>
        <w:t xml:space="preserve">Le 25 septembre, sept étudiants ont travaillé sur le cas ERP à 4 500 € : SCQA, Bottom-Line First, rédaction et pitch. L’intervenant a observé des hésitations et un manque d’assurance. Le 16 octobre sert à pratiquer avant d’évaluer.</w:t>
      </w:r>
    </w:p>
    <w:p>
      <w:pPr>
        <w:spacing w:after="120"/>
      </w:pPr>
      <w:r>
        <w:rPr>
          <w:b/>
          <w:bCs/>
        </w:rPr>
        <w:t xml:space="preserve">Résultat attendu :</w:t>
      </w:r>
      <w:r>
        <w:t xml:space="preserve"> chaque étudiant formule une demande de décision compréhensible, l’étaye avec les faits disponibles et répond à une question simple. Il produit une Note Flash révisée et réalise plusieurs essais oraux avec feedback.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shd w:fill="1F3A5F" w:color="auto" w:val="clear"/>
            <w:tcMar>
              <w:top w:type="dxa" w:w="60"/>
              <w:left w:type="dxa" w:w="100"/>
              <w:bottom w:type="dxa" w:w="60"/>
              <w:right w:type="dxa" w:w="100"/>
            </w:tcMar>
          </w:tcPr>
          <w:p>
            <w:pPr>
              <w:spacing w:after="40"/>
            </w:pPr>
            <w:r>
              <w:rPr>
                <w:b/>
                <w:bCs/>
                <w:color w:val="FFFFFF"/>
                <w:sz w:val="19"/>
                <w:szCs w:val="19"/>
              </w:rPr>
              <w:t xml:space="preserve">Étape</w:t>
            </w:r>
          </w:p>
        </w:tc>
        <w:tc>
          <w:tcPr>
            <w:tcW w:type="dxa" w:w="6747"/>
            <w:shd w:fill="1F3A5F" w:color="auto" w:val="clear"/>
            <w:tcMar>
              <w:top w:type="dxa" w:w="60"/>
              <w:left w:type="dxa" w:w="100"/>
              <w:bottom w:type="dxa" w:w="60"/>
              <w:right w:type="dxa" w:w="100"/>
            </w:tcMar>
          </w:tcPr>
          <w:p>
            <w:pPr>
              <w:spacing w:after="40"/>
            </w:pPr>
            <w:r>
              <w:rPr>
                <w:b/>
                <w:bCs/>
                <w:color w:val="FFFFFF"/>
                <w:sz w:val="19"/>
                <w:szCs w:val="19"/>
              </w:rPr>
              <w:t xml:space="preserve">Conséquence</w:t>
            </w:r>
          </w:p>
        </w:tc>
      </w:tr>
      <w:tr>
        <w:tc>
          <w:tcPr>
            <w:tcW w:type="dxa" w:w="2891"/>
            <w:tcMar>
              <w:top w:type="dxa" w:w="60"/>
              <w:left w:type="dxa" w:w="100"/>
              <w:bottom w:type="dxa" w:w="60"/>
              <w:right w:type="dxa" w:w="100"/>
            </w:tcMar>
          </w:tcPr>
          <w:p>
            <w:pPr>
              <w:spacing w:after="40"/>
            </w:pPr>
            <w:r>
              <w:rPr>
                <w:sz w:val="19"/>
                <w:szCs w:val="19"/>
              </w:rPr>
              <w:t xml:space="preserve">16 octobre : entraînement</w:t>
            </w:r>
          </w:p>
        </w:tc>
        <w:tc>
          <w:tcPr>
            <w:tcW w:type="dxa" w:w="6747"/>
            <w:tcMar>
              <w:top w:type="dxa" w:w="60"/>
              <w:left w:type="dxa" w:w="100"/>
              <w:bottom w:type="dxa" w:w="60"/>
              <w:right w:type="dxa" w:w="100"/>
            </w:tcMar>
          </w:tcPr>
          <w:p>
            <w:pPr>
              <w:spacing w:after="40"/>
            </w:pPr>
            <w:r>
              <w:rPr>
                <w:sz w:val="19"/>
                <w:szCs w:val="19"/>
              </w:rPr>
              <w:t xml:space="preserve">Aucun contrôle noté de performance ce jour-là.</w:t>
            </w:r>
          </w:p>
        </w:tc>
      </w:tr>
      <w:tr>
        <w:tc>
          <w:tcPr>
            <w:tcW w:type="dxa" w:w="2891"/>
            <w:shd w:fill="E8EEF5" w:color="auto" w:val="clear"/>
            <w:tcMar>
              <w:top w:type="dxa" w:w="60"/>
              <w:left w:type="dxa" w:w="100"/>
              <w:bottom w:type="dxa" w:w="60"/>
              <w:right w:type="dxa" w:w="100"/>
            </w:tcMar>
          </w:tcPr>
          <w:p>
            <w:pPr>
              <w:spacing w:after="40"/>
            </w:pPr>
            <w:r>
              <w:rPr>
                <w:sz w:val="19"/>
                <w:szCs w:val="19"/>
              </w:rPr>
              <w:t xml:space="preserve">6 novembre : contrôle écrit</w:t>
            </w:r>
          </w:p>
        </w:tc>
        <w:tc>
          <w:tcPr>
            <w:tcW w:type="dxa" w:w="6747"/>
            <w:shd w:fill="E8EEF5" w:color="auto" w:val="clear"/>
            <w:tcMar>
              <w:top w:type="dxa" w:w="60"/>
              <w:left w:type="dxa" w:w="100"/>
              <w:bottom w:type="dxa" w:w="60"/>
              <w:right w:type="dxa" w:w="100"/>
            </w:tcMar>
          </w:tcPr>
          <w:p>
            <w:pPr>
              <w:spacing w:after="40"/>
            </w:pPr>
            <w:r>
              <w:rPr>
                <w:sz w:val="19"/>
                <w:szCs w:val="19"/>
              </w:rPr>
              <w:t xml:space="preserve">Rapport exécutif court intégrant une Note Flash, après de nouveaux entraînements.</w:t>
            </w:r>
          </w:p>
        </w:tc>
      </w:tr>
      <w:tr>
        <w:tc>
          <w:tcPr>
            <w:tcW w:type="dxa" w:w="2891"/>
            <w:tcMar>
              <w:top w:type="dxa" w:w="60"/>
              <w:left w:type="dxa" w:w="100"/>
              <w:bottom w:type="dxa" w:w="60"/>
              <w:right w:type="dxa" w:w="100"/>
            </w:tcMar>
          </w:tcPr>
          <w:p>
            <w:pPr>
              <w:spacing w:after="40"/>
            </w:pPr>
            <w:r>
              <w:rPr>
                <w:sz w:val="19"/>
                <w:szCs w:val="19"/>
              </w:rPr>
              <w:t xml:space="preserve">22 janvier : pitch individuel</w:t>
            </w:r>
          </w:p>
        </w:tc>
        <w:tc>
          <w:tcPr>
            <w:tcW w:type="dxa" w:w="6747"/>
            <w:tcMar>
              <w:top w:type="dxa" w:w="60"/>
              <w:left w:type="dxa" w:w="100"/>
              <w:bottom w:type="dxa" w:w="60"/>
              <w:right w:type="dxa" w:w="100"/>
            </w:tcMar>
          </w:tcPr>
          <w:p>
            <w:pPr>
              <w:spacing w:after="40"/>
            </w:pPr>
            <w:r>
              <w:rPr>
                <w:sz w:val="19"/>
                <w:szCs w:val="19"/>
              </w:rPr>
              <w:t xml:space="preserve">Présentation et questions.</w:t>
            </w:r>
          </w:p>
        </w:tc>
      </w:tr>
    </w:tbl>
    <w:p>
      <w:pPr>
        <w:spacing w:after="120"/>
      </w:pPr>
    </w:p>
    <w:p>
      <w:pPr>
        <w:pStyle w:val="Heading2"/>
      </w:pPr>
      <w:r>
        <w:t xml:space="preserve">Quatre cibles observables</w:t>
      </w:r>
    </w:p>
    <w:p>
      <w:pPr>
        <w:pStyle w:val="ListParagraph"/>
        <w:numPr>
          <w:ilvl w:val="0"/>
          <w:numId w:val="2"/>
        </w:numPr>
        <w:spacing w:after="60"/>
      </w:pPr>
      <w:r>
        <w:rPr>
          <w:b/>
          <w:bCs/>
        </w:rPr>
        <w:t xml:space="preserve">C1 — Décision :</w:t>
      </w:r>
      <w:r>
        <w:t xml:space="preserve"> l’auditeur peut reformuler l’accord demandé.</w:t>
      </w:r>
    </w:p>
    <w:p>
      <w:pPr>
        <w:pStyle w:val="ListParagraph"/>
        <w:numPr>
          <w:ilvl w:val="0"/>
          <w:numId w:val="2"/>
        </w:numPr>
        <w:spacing w:after="60"/>
      </w:pPr>
      <w:r>
        <w:rPr>
          <w:b/>
          <w:bCs/>
        </w:rPr>
        <w:t xml:space="preserve">C2 — Fiabilité :</w:t>
      </w:r>
      <w:r>
        <w:t xml:space="preserve"> l’étudiant distingue faits, risques, propositions et inconnues.</w:t>
      </w:r>
    </w:p>
    <w:p>
      <w:pPr>
        <w:pStyle w:val="ListParagraph"/>
        <w:numPr>
          <w:ilvl w:val="0"/>
          <w:numId w:val="2"/>
        </w:numPr>
        <w:spacing w:after="60"/>
      </w:pPr>
      <w:r>
        <w:rPr>
          <w:b/>
          <w:bCs/>
        </w:rPr>
        <w:t xml:space="preserve">C3 — Adaptation :</w:t>
      </w:r>
      <w:r>
        <w:t xml:space="preserve"> les mêmes faits sont hiérarchisés selon le destinataire.</w:t>
      </w:r>
    </w:p>
    <w:p>
      <w:pPr>
        <w:pStyle w:val="ListParagraph"/>
        <w:numPr>
          <w:ilvl w:val="0"/>
          <w:numId w:val="2"/>
        </w:numPr>
        <w:spacing w:after="60"/>
      </w:pPr>
      <w:r>
        <w:rPr>
          <w:b/>
          <w:bCs/>
        </w:rPr>
        <w:t xml:space="preserve">C4 — Expression :</w:t>
      </w:r>
      <w:r>
        <w:t xml:space="preserve"> le message est audible, concis et suivi d’une réponse pertinente.</w:t>
      </w:r>
    </w:p>
    <w:p>
      <w:pPr>
        <w:pStyle w:val="Heading2"/>
      </w:pPr>
      <w:r>
        <w:t xml:space="preserve">La Note Flash du 25 septembre</w:t>
      </w:r>
    </w:p>
    <w:p>
      <w:pPr>
        <w:spacing w:after="120"/>
      </w:pPr>
      <w:r>
        <w:t xml:space="preserve">Conserver la V1. Le 16 octobre, l’étudiant crée une V2 puis explique deux modifications. La Note Flash avait été annoncée pour le contrôle continu : elle devient une étape de préparation au rapport évalué du 6 novembre. </w:t>
      </w:r>
      <w:r>
        <w:rPr>
          <w:b/>
          <w:bCs/>
        </w:rPr>
        <w:t xml:space="preserve">Expliquer ce report aux étudiants</w:t>
      </w:r>
      <w:r>
        <w:t xml:space="preserve">, sans requalifier la séance du 25/09 en simple diagnostic. Ne pas annoncer comme définitifs le barème ni les modalités des alternants tant qu’EPITA ne les a pas confirmés.</w:t>
      </w:r>
    </w:p>
    <w:p>
      <w:pPr>
        <w:pStyle w:val="Heading1"/>
      </w:pPr>
      <w:r>
        <w:t xml:space="preserve">Conducteur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42"/>
        <w:gridCol w:w="963"/>
        <w:gridCol w:w="4626"/>
        <w:gridCol w:w="2507"/>
      </w:tblGrid>
      <w:tr>
        <w:trPr>
          <w:tblHeader/>
        </w:trPr>
        <w:tc>
          <w:tcPr>
            <w:tcW w:type="dxa" w:w="1542"/>
            <w:shd w:fill="1F3A5F" w:color="auto" w:val="clear"/>
            <w:tcMar>
              <w:top w:type="dxa" w:w="60"/>
              <w:left w:type="dxa" w:w="100"/>
              <w:bottom w:type="dxa" w:w="60"/>
              <w:right w:type="dxa" w:w="100"/>
            </w:tcMar>
          </w:tcPr>
          <w:p>
            <w:pPr>
              <w:spacing w:after="40"/>
            </w:pPr>
            <w:r>
              <w:rPr>
                <w:b/>
                <w:bCs/>
                <w:color w:val="FFFFFF"/>
                <w:sz w:val="19"/>
                <w:szCs w:val="19"/>
              </w:rPr>
              <w:t xml:space="preserve">Horaire</w:t>
            </w:r>
          </w:p>
        </w:tc>
        <w:tc>
          <w:tcPr>
            <w:tcW w:type="dxa" w:w="963"/>
            <w:shd w:fill="1F3A5F" w:color="auto" w:val="clear"/>
            <w:tcMar>
              <w:top w:type="dxa" w:w="60"/>
              <w:left w:type="dxa" w:w="100"/>
              <w:bottom w:type="dxa" w:w="60"/>
              <w:right w:type="dxa" w:w="100"/>
            </w:tcMar>
          </w:tcPr>
          <w:p>
            <w:pPr>
              <w:spacing w:after="40"/>
            </w:pPr>
            <w:r>
              <w:rPr>
                <w:b/>
                <w:bCs/>
                <w:color w:val="FFFFFF"/>
                <w:sz w:val="19"/>
                <w:szCs w:val="19"/>
              </w:rPr>
              <w:t xml:space="preserve">Durée</w:t>
            </w:r>
          </w:p>
        </w:tc>
        <w:tc>
          <w:tcPr>
            <w:tcW w:type="dxa" w:w="4626"/>
            <w:shd w:fill="1F3A5F" w:color="auto" w:val="clear"/>
            <w:tcMar>
              <w:top w:type="dxa" w:w="60"/>
              <w:left w:type="dxa" w:w="100"/>
              <w:bottom w:type="dxa" w:w="60"/>
              <w:right w:type="dxa" w:w="100"/>
            </w:tcMar>
          </w:tcPr>
          <w:p>
            <w:pPr>
              <w:spacing w:after="40"/>
            </w:pPr>
            <w:r>
              <w:rPr>
                <w:b/>
                <w:bCs/>
                <w:color w:val="FFFFFF"/>
                <w:sz w:val="19"/>
                <w:szCs w:val="19"/>
              </w:rPr>
              <w:t xml:space="preserve">Séquence</w:t>
            </w:r>
          </w:p>
        </w:tc>
        <w:tc>
          <w:tcPr>
            <w:tcW w:type="dxa" w:w="2507"/>
            <w:shd w:fill="1F3A5F" w:color="auto" w:val="clear"/>
            <w:tcMar>
              <w:top w:type="dxa" w:w="60"/>
              <w:left w:type="dxa" w:w="100"/>
              <w:bottom w:type="dxa" w:w="60"/>
              <w:right w:type="dxa" w:w="100"/>
            </w:tcMar>
          </w:tcPr>
          <w:p>
            <w:pPr>
              <w:spacing w:after="40"/>
            </w:pPr>
            <w:r>
              <w:rPr>
                <w:b/>
                <w:bCs/>
                <w:color w:val="FFFFFF"/>
                <w:sz w:val="19"/>
                <w:szCs w:val="19"/>
              </w:rPr>
              <w:t xml:space="preserve">Trace</w:t>
            </w:r>
          </w:p>
        </w:tc>
      </w:tr>
      <w:tr>
        <w:tc>
          <w:tcPr>
            <w:tcW w:type="dxa" w:w="1542"/>
            <w:tcMar>
              <w:top w:type="dxa" w:w="60"/>
              <w:left w:type="dxa" w:w="100"/>
              <w:bottom w:type="dxa" w:w="60"/>
              <w:right w:type="dxa" w:w="100"/>
            </w:tcMar>
          </w:tcPr>
          <w:p>
            <w:pPr>
              <w:spacing w:after="40"/>
            </w:pPr>
            <w:r>
              <w:rPr>
                <w:sz w:val="19"/>
                <w:szCs w:val="19"/>
              </w:rPr>
              <w:t xml:space="preserve">09:00–09:30</w:t>
            </w:r>
          </w:p>
        </w:tc>
        <w:tc>
          <w:tcPr>
            <w:tcW w:type="dxa" w:w="963"/>
            <w:tcMar>
              <w:top w:type="dxa" w:w="60"/>
              <w:left w:type="dxa" w:w="100"/>
              <w:bottom w:type="dxa" w:w="60"/>
              <w:right w:type="dxa" w:w="100"/>
            </w:tcMar>
          </w:tcPr>
          <w:p>
            <w:pPr>
              <w:spacing w:after="40"/>
            </w:pPr>
            <w:r>
              <w:rPr>
                <w:sz w:val="19"/>
                <w:szCs w:val="19"/>
              </w:rPr>
              <w:t xml:space="preserve">30</w:t>
            </w:r>
          </w:p>
        </w:tc>
        <w:tc>
          <w:tcPr>
            <w:tcW w:type="dxa" w:w="4626"/>
            <w:tcMar>
              <w:top w:type="dxa" w:w="60"/>
              <w:left w:type="dxa" w:w="100"/>
              <w:bottom w:type="dxa" w:w="60"/>
              <w:right w:type="dxa" w:w="100"/>
            </w:tcMar>
          </w:tcPr>
          <w:p>
            <w:pPr>
              <w:spacing w:after="40"/>
            </w:pPr>
            <w:r>
              <w:rPr>
                <w:sz w:val="19"/>
                <w:szCs w:val="19"/>
              </w:rPr>
              <w:t xml:space="preserve">A1 — Réactiver sans réciter</w:t>
            </w:r>
          </w:p>
        </w:tc>
        <w:tc>
          <w:tcPr>
            <w:tcW w:type="dxa" w:w="2507"/>
            <w:tcMar>
              <w:top w:type="dxa" w:w="60"/>
              <w:left w:type="dxa" w:w="100"/>
              <w:bottom w:type="dxa" w:w="60"/>
              <w:right w:type="dxa" w:w="100"/>
            </w:tcMar>
          </w:tcPr>
          <w:p>
            <w:pPr>
              <w:spacing w:after="40"/>
            </w:pPr>
            <w:r>
              <w:rPr>
                <w:sz w:val="19"/>
                <w:szCs w:val="19"/>
              </w:rPr>
              <w:t xml:space="preserve">Message de départ</w:t>
            </w:r>
          </w:p>
        </w:tc>
      </w:tr>
      <w:tr>
        <w:tc>
          <w:tcPr>
            <w:tcW w:type="dxa" w:w="1542"/>
            <w:shd w:fill="E8EEF5" w:color="auto" w:val="clear"/>
            <w:tcMar>
              <w:top w:type="dxa" w:w="60"/>
              <w:left w:type="dxa" w:w="100"/>
              <w:bottom w:type="dxa" w:w="60"/>
              <w:right w:type="dxa" w:w="100"/>
            </w:tcMar>
          </w:tcPr>
          <w:p>
            <w:pPr>
              <w:spacing w:after="40"/>
            </w:pPr>
            <w:r>
              <w:rPr>
                <w:sz w:val="19"/>
                <w:szCs w:val="19"/>
              </w:rPr>
              <w:t xml:space="preserve">09:30–10:15</w:t>
            </w:r>
          </w:p>
        </w:tc>
        <w:tc>
          <w:tcPr>
            <w:tcW w:type="dxa" w:w="963"/>
            <w:shd w:fill="E8EEF5" w:color="auto" w:val="clear"/>
            <w:tcMar>
              <w:top w:type="dxa" w:w="60"/>
              <w:left w:type="dxa" w:w="100"/>
              <w:bottom w:type="dxa" w:w="60"/>
              <w:right w:type="dxa" w:w="100"/>
            </w:tcMar>
          </w:tcPr>
          <w:p>
            <w:pPr>
              <w:spacing w:after="40"/>
            </w:pPr>
            <w:r>
              <w:rPr>
                <w:sz w:val="19"/>
                <w:szCs w:val="19"/>
              </w:rPr>
              <w:t xml:space="preserve">45</w:t>
            </w:r>
          </w:p>
        </w:tc>
        <w:tc>
          <w:tcPr>
            <w:tcW w:type="dxa" w:w="4626"/>
            <w:shd w:fill="E8EEF5" w:color="auto" w:val="clear"/>
            <w:tcMar>
              <w:top w:type="dxa" w:w="60"/>
              <w:left w:type="dxa" w:w="100"/>
              <w:bottom w:type="dxa" w:w="60"/>
              <w:right w:type="dxa" w:w="100"/>
            </w:tcMar>
          </w:tcPr>
          <w:p>
            <w:pPr>
              <w:spacing w:after="40"/>
            </w:pPr>
            <w:r>
              <w:rPr>
                <w:sz w:val="19"/>
                <w:szCs w:val="19"/>
              </w:rPr>
              <w:t xml:space="preserve">A2 — Clinique des formulations</w:t>
            </w:r>
          </w:p>
        </w:tc>
        <w:tc>
          <w:tcPr>
            <w:tcW w:type="dxa" w:w="2507"/>
            <w:shd w:fill="E8EEF5" w:color="auto" w:val="clear"/>
            <w:tcMar>
              <w:top w:type="dxa" w:w="60"/>
              <w:left w:type="dxa" w:w="100"/>
              <w:bottom w:type="dxa" w:w="60"/>
              <w:right w:type="dxa" w:w="100"/>
            </w:tcMar>
          </w:tcPr>
          <w:p>
            <w:pPr>
              <w:spacing w:after="40"/>
            </w:pPr>
            <w:r>
              <w:rPr>
                <w:sz w:val="19"/>
                <w:szCs w:val="19"/>
              </w:rPr>
              <w:t xml:space="preserve">Trois reformulations</w:t>
            </w:r>
          </w:p>
        </w:tc>
      </w:tr>
      <w:tr>
        <w:tc>
          <w:tcPr>
            <w:tcW w:type="dxa" w:w="1542"/>
            <w:tcMar>
              <w:top w:type="dxa" w:w="60"/>
              <w:left w:type="dxa" w:w="100"/>
              <w:bottom w:type="dxa" w:w="60"/>
              <w:right w:type="dxa" w:w="100"/>
            </w:tcMar>
          </w:tcPr>
          <w:p>
            <w:pPr>
              <w:spacing w:after="40"/>
            </w:pPr>
            <w:r>
              <w:rPr>
                <w:sz w:val="19"/>
                <w:szCs w:val="19"/>
              </w:rPr>
              <w:t xml:space="preserve">10:15–11:00</w:t>
            </w:r>
          </w:p>
        </w:tc>
        <w:tc>
          <w:tcPr>
            <w:tcW w:type="dxa" w:w="963"/>
            <w:tcMar>
              <w:top w:type="dxa" w:w="60"/>
              <w:left w:type="dxa" w:w="100"/>
              <w:bottom w:type="dxa" w:w="60"/>
              <w:right w:type="dxa" w:w="100"/>
            </w:tcMar>
          </w:tcPr>
          <w:p>
            <w:pPr>
              <w:spacing w:after="40"/>
            </w:pPr>
            <w:r>
              <w:rPr>
                <w:sz w:val="19"/>
                <w:szCs w:val="19"/>
              </w:rPr>
              <w:t xml:space="preserve">45</w:t>
            </w:r>
          </w:p>
        </w:tc>
        <w:tc>
          <w:tcPr>
            <w:tcW w:type="dxa" w:w="4626"/>
            <w:tcMar>
              <w:top w:type="dxa" w:w="60"/>
              <w:left w:type="dxa" w:w="100"/>
              <w:bottom w:type="dxa" w:w="60"/>
              <w:right w:type="dxa" w:w="100"/>
            </w:tcMar>
          </w:tcPr>
          <w:p>
            <w:pPr>
              <w:spacing w:after="40"/>
            </w:pPr>
            <w:r>
              <w:rPr>
                <w:sz w:val="19"/>
                <w:szCs w:val="19"/>
              </w:rPr>
              <w:t xml:space="preserve">A3 — Demander une décision</w:t>
            </w:r>
          </w:p>
        </w:tc>
        <w:tc>
          <w:tcPr>
            <w:tcW w:type="dxa" w:w="2507"/>
            <w:tcMar>
              <w:top w:type="dxa" w:w="60"/>
              <w:left w:type="dxa" w:w="100"/>
              <w:bottom w:type="dxa" w:w="60"/>
              <w:right w:type="dxa" w:w="100"/>
            </w:tcMar>
          </w:tcPr>
          <w:p>
            <w:pPr>
              <w:spacing w:after="40"/>
            </w:pPr>
            <w:r>
              <w:rPr>
                <w:sz w:val="19"/>
                <w:szCs w:val="19"/>
              </w:rPr>
              <w:t xml:space="preserve">Trois demandes explicites</w:t>
            </w:r>
          </w:p>
        </w:tc>
      </w:tr>
      <w:tr>
        <w:tc>
          <w:tcPr>
            <w:tcW w:type="dxa" w:w="1542"/>
            <w:shd w:fill="E8EEF5" w:color="auto" w:val="clear"/>
            <w:tcMar>
              <w:top w:type="dxa" w:w="60"/>
              <w:left w:type="dxa" w:w="100"/>
              <w:bottom w:type="dxa" w:w="60"/>
              <w:right w:type="dxa" w:w="100"/>
            </w:tcMar>
          </w:tcPr>
          <w:p>
            <w:pPr>
              <w:spacing w:after="40"/>
            </w:pPr>
            <w:r>
              <w:rPr>
                <w:sz w:val="19"/>
                <w:szCs w:val="19"/>
              </w:rPr>
              <w:t xml:space="preserve">11:00–11:15</w:t>
            </w:r>
          </w:p>
        </w:tc>
        <w:tc>
          <w:tcPr>
            <w:tcW w:type="dxa" w:w="963"/>
            <w:shd w:fill="E8EEF5" w:color="auto" w:val="clear"/>
            <w:tcMar>
              <w:top w:type="dxa" w:w="60"/>
              <w:left w:type="dxa" w:w="100"/>
              <w:bottom w:type="dxa" w:w="60"/>
              <w:right w:type="dxa" w:w="100"/>
            </w:tcMar>
          </w:tcPr>
          <w:p>
            <w:pPr>
              <w:spacing w:after="40"/>
            </w:pPr>
            <w:r>
              <w:rPr>
                <w:sz w:val="19"/>
                <w:szCs w:val="19"/>
              </w:rPr>
              <w:t xml:space="preserve">15</w:t>
            </w:r>
          </w:p>
        </w:tc>
        <w:tc>
          <w:tcPr>
            <w:tcW w:type="dxa" w:w="4626"/>
            <w:shd w:fill="E8EEF5" w:color="auto" w:val="clear"/>
            <w:tcMar>
              <w:top w:type="dxa" w:w="60"/>
              <w:left w:type="dxa" w:w="100"/>
              <w:bottom w:type="dxa" w:w="60"/>
              <w:right w:type="dxa" w:w="100"/>
            </w:tcMar>
          </w:tcPr>
          <w:p>
            <w:pPr>
              <w:spacing w:after="40"/>
            </w:pPr>
            <w:r>
              <w:rPr>
                <w:sz w:val="19"/>
                <w:szCs w:val="19"/>
              </w:rPr>
              <w:t xml:space="preserve">Pause</w:t>
            </w:r>
          </w:p>
        </w:tc>
        <w:tc>
          <w:tcPr>
            <w:tcW w:type="dxa" w:w="2507"/>
            <w:shd w:fill="E8EEF5" w:color="auto" w:val="clear"/>
            <w:tcMar>
              <w:top w:type="dxa" w:w="60"/>
              <w:left w:type="dxa" w:w="100"/>
              <w:bottom w:type="dxa" w:w="60"/>
              <w:right w:type="dxa" w:w="100"/>
            </w:tcMar>
          </w:tcPr>
          <w:p>
            <w:pPr>
              <w:spacing w:after="40"/>
            </w:pPr>
          </w:p>
        </w:tc>
      </w:tr>
      <w:tr>
        <w:tc>
          <w:tcPr>
            <w:tcW w:type="dxa" w:w="1542"/>
            <w:tcMar>
              <w:top w:type="dxa" w:w="60"/>
              <w:left w:type="dxa" w:w="100"/>
              <w:bottom w:type="dxa" w:w="60"/>
              <w:right w:type="dxa" w:w="100"/>
            </w:tcMar>
          </w:tcPr>
          <w:p>
            <w:pPr>
              <w:spacing w:after="40"/>
            </w:pPr>
            <w:r>
              <w:rPr>
                <w:sz w:val="19"/>
                <w:szCs w:val="19"/>
              </w:rPr>
              <w:t xml:space="preserve">11:15–12:15</w:t>
            </w:r>
          </w:p>
        </w:tc>
        <w:tc>
          <w:tcPr>
            <w:tcW w:type="dxa" w:w="963"/>
            <w:tcMar>
              <w:top w:type="dxa" w:w="60"/>
              <w:left w:type="dxa" w:w="100"/>
              <w:bottom w:type="dxa" w:w="60"/>
              <w:right w:type="dxa" w:w="100"/>
            </w:tcMar>
          </w:tcPr>
          <w:p>
            <w:pPr>
              <w:spacing w:after="40"/>
            </w:pPr>
            <w:r>
              <w:rPr>
                <w:sz w:val="19"/>
                <w:szCs w:val="19"/>
              </w:rPr>
              <w:t xml:space="preserve">60</w:t>
            </w:r>
          </w:p>
        </w:tc>
        <w:tc>
          <w:tcPr>
            <w:tcW w:type="dxa" w:w="4626"/>
            <w:tcMar>
              <w:top w:type="dxa" w:w="60"/>
              <w:left w:type="dxa" w:w="100"/>
              <w:bottom w:type="dxa" w:w="60"/>
              <w:right w:type="dxa" w:w="100"/>
            </w:tcMar>
          </w:tcPr>
          <w:p>
            <w:pPr>
              <w:spacing w:after="40"/>
            </w:pPr>
            <w:r>
              <w:rPr>
                <w:sz w:val="19"/>
                <w:szCs w:val="19"/>
              </w:rPr>
              <w:t xml:space="preserve">A4 — Note Flash V2</w:t>
            </w:r>
          </w:p>
        </w:tc>
        <w:tc>
          <w:tcPr>
            <w:tcW w:type="dxa" w:w="2507"/>
            <w:tcMar>
              <w:top w:type="dxa" w:w="60"/>
              <w:left w:type="dxa" w:w="100"/>
              <w:bottom w:type="dxa" w:w="60"/>
              <w:right w:type="dxa" w:w="100"/>
            </w:tcMar>
          </w:tcPr>
          <w:p>
            <w:pPr>
              <w:spacing w:after="40"/>
            </w:pPr>
            <w:r>
              <w:rPr>
                <w:sz w:val="19"/>
                <w:szCs w:val="19"/>
              </w:rPr>
              <w:t xml:space="preserve">Note et justification</w:t>
            </w:r>
          </w:p>
        </w:tc>
      </w:tr>
      <w:tr>
        <w:tc>
          <w:tcPr>
            <w:tcW w:type="dxa" w:w="1542"/>
            <w:shd w:fill="E8EEF5" w:color="auto" w:val="clear"/>
            <w:tcMar>
              <w:top w:type="dxa" w:w="60"/>
              <w:left w:type="dxa" w:w="100"/>
              <w:bottom w:type="dxa" w:w="60"/>
              <w:right w:type="dxa" w:w="100"/>
            </w:tcMar>
          </w:tcPr>
          <w:p>
            <w:pPr>
              <w:spacing w:after="40"/>
            </w:pPr>
            <w:r>
              <w:rPr>
                <w:sz w:val="19"/>
                <w:szCs w:val="19"/>
              </w:rPr>
              <w:t xml:space="preserve">12:15–13:00</w:t>
            </w:r>
          </w:p>
        </w:tc>
        <w:tc>
          <w:tcPr>
            <w:tcW w:type="dxa" w:w="963"/>
            <w:shd w:fill="E8EEF5" w:color="auto" w:val="clear"/>
            <w:tcMar>
              <w:top w:type="dxa" w:w="60"/>
              <w:left w:type="dxa" w:w="100"/>
              <w:bottom w:type="dxa" w:w="60"/>
              <w:right w:type="dxa" w:w="100"/>
            </w:tcMar>
          </w:tcPr>
          <w:p>
            <w:pPr>
              <w:spacing w:after="40"/>
            </w:pPr>
            <w:r>
              <w:rPr>
                <w:sz w:val="19"/>
                <w:szCs w:val="19"/>
              </w:rPr>
              <w:t xml:space="preserve">45</w:t>
            </w:r>
          </w:p>
        </w:tc>
        <w:tc>
          <w:tcPr>
            <w:tcW w:type="dxa" w:w="4626"/>
            <w:shd w:fill="E8EEF5" w:color="auto" w:val="clear"/>
            <w:tcMar>
              <w:top w:type="dxa" w:w="60"/>
              <w:left w:type="dxa" w:w="100"/>
              <w:bottom w:type="dxa" w:w="60"/>
              <w:right w:type="dxa" w:w="100"/>
            </w:tcMar>
          </w:tcPr>
          <w:p>
            <w:pPr>
              <w:spacing w:after="40"/>
            </w:pPr>
            <w:r>
              <w:rPr>
                <w:sz w:val="19"/>
                <w:szCs w:val="19"/>
              </w:rPr>
              <w:t xml:space="preserve">A5 — Laboratoire oral</w:t>
            </w:r>
          </w:p>
        </w:tc>
        <w:tc>
          <w:tcPr>
            <w:tcW w:type="dxa" w:w="2507"/>
            <w:shd w:fill="E8EEF5" w:color="auto" w:val="clear"/>
            <w:tcMar>
              <w:top w:type="dxa" w:w="60"/>
              <w:left w:type="dxa" w:w="100"/>
              <w:bottom w:type="dxa" w:w="60"/>
              <w:right w:type="dxa" w:w="100"/>
            </w:tcMar>
          </w:tcPr>
          <w:p>
            <w:pPr>
              <w:spacing w:after="40"/>
            </w:pPr>
            <w:r>
              <w:rPr>
                <w:sz w:val="19"/>
                <w:szCs w:val="19"/>
              </w:rPr>
              <w:t xml:space="preserve">Deux passages par étudiant</w:t>
            </w:r>
          </w:p>
        </w:tc>
      </w:tr>
      <w:tr>
        <w:tc>
          <w:tcPr>
            <w:tcW w:type="dxa" w:w="1542"/>
            <w:tcMar>
              <w:top w:type="dxa" w:w="60"/>
              <w:left w:type="dxa" w:w="100"/>
              <w:bottom w:type="dxa" w:w="60"/>
              <w:right w:type="dxa" w:w="100"/>
            </w:tcMar>
          </w:tcPr>
          <w:p>
            <w:pPr>
              <w:spacing w:after="40"/>
            </w:pPr>
            <w:r>
              <w:rPr>
                <w:sz w:val="19"/>
                <w:szCs w:val="19"/>
              </w:rPr>
              <w:t xml:space="preserve">13:00–14:00</w:t>
            </w:r>
          </w:p>
        </w:tc>
        <w:tc>
          <w:tcPr>
            <w:tcW w:type="dxa" w:w="963"/>
            <w:tcMar>
              <w:top w:type="dxa" w:w="60"/>
              <w:left w:type="dxa" w:w="100"/>
              <w:bottom w:type="dxa" w:w="60"/>
              <w:right w:type="dxa" w:w="100"/>
            </w:tcMar>
          </w:tcPr>
          <w:p>
            <w:pPr>
              <w:spacing w:after="40"/>
            </w:pPr>
          </w:p>
        </w:tc>
        <w:tc>
          <w:tcPr>
            <w:tcW w:type="dxa" w:w="4626"/>
            <w:tcMar>
              <w:top w:type="dxa" w:w="60"/>
              <w:left w:type="dxa" w:w="100"/>
              <w:bottom w:type="dxa" w:w="60"/>
              <w:right w:type="dxa" w:w="100"/>
            </w:tcMar>
          </w:tcPr>
          <w:p>
            <w:pPr>
              <w:spacing w:after="40"/>
            </w:pPr>
            <w:r>
              <w:rPr>
                <w:sz w:val="19"/>
                <w:szCs w:val="19"/>
              </w:rPr>
              <w:t xml:space="preserve">Déjeuner (hors des 7 h)</w:t>
            </w:r>
          </w:p>
        </w:tc>
        <w:tc>
          <w:tcPr>
            <w:tcW w:type="dxa" w:w="2507"/>
            <w:tcMar>
              <w:top w:type="dxa" w:w="60"/>
              <w:left w:type="dxa" w:w="100"/>
              <w:bottom w:type="dxa" w:w="60"/>
              <w:right w:type="dxa" w:w="100"/>
            </w:tcMar>
          </w:tcPr>
          <w:p>
            <w:pPr>
              <w:spacing w:after="40"/>
            </w:pPr>
          </w:p>
        </w:tc>
      </w:tr>
      <w:tr>
        <w:tc>
          <w:tcPr>
            <w:tcW w:type="dxa" w:w="1542"/>
            <w:shd w:fill="E8EEF5" w:color="auto" w:val="clear"/>
            <w:tcMar>
              <w:top w:type="dxa" w:w="60"/>
              <w:left w:type="dxa" w:w="100"/>
              <w:bottom w:type="dxa" w:w="60"/>
              <w:right w:type="dxa" w:w="100"/>
            </w:tcMar>
          </w:tcPr>
          <w:p>
            <w:pPr>
              <w:spacing w:after="40"/>
            </w:pPr>
            <w:r>
              <w:rPr>
                <w:sz w:val="19"/>
                <w:szCs w:val="19"/>
              </w:rPr>
              <w:t xml:space="preserve">14:00–15:00</w:t>
            </w:r>
          </w:p>
        </w:tc>
        <w:tc>
          <w:tcPr>
            <w:tcW w:type="dxa" w:w="963"/>
            <w:shd w:fill="E8EEF5" w:color="auto" w:val="clear"/>
            <w:tcMar>
              <w:top w:type="dxa" w:w="60"/>
              <w:left w:type="dxa" w:w="100"/>
              <w:bottom w:type="dxa" w:w="60"/>
              <w:right w:type="dxa" w:w="100"/>
            </w:tcMar>
          </w:tcPr>
          <w:p>
            <w:pPr>
              <w:spacing w:after="40"/>
            </w:pPr>
            <w:r>
              <w:rPr>
                <w:sz w:val="19"/>
                <w:szCs w:val="19"/>
              </w:rPr>
              <w:t xml:space="preserve">60</w:t>
            </w:r>
          </w:p>
        </w:tc>
        <w:tc>
          <w:tcPr>
            <w:tcW w:type="dxa" w:w="4626"/>
            <w:shd w:fill="E8EEF5" w:color="auto" w:val="clear"/>
            <w:tcMar>
              <w:top w:type="dxa" w:w="60"/>
              <w:left w:type="dxa" w:w="100"/>
              <w:bottom w:type="dxa" w:w="60"/>
              <w:right w:type="dxa" w:w="100"/>
            </w:tcMar>
          </w:tcPr>
          <w:p>
            <w:pPr>
              <w:spacing w:after="40"/>
            </w:pPr>
            <w:r>
              <w:rPr>
                <w:sz w:val="19"/>
                <w:szCs w:val="19"/>
              </w:rPr>
              <w:t xml:space="preserve">A6 — CEO, CFO, opérations</w:t>
            </w:r>
          </w:p>
        </w:tc>
        <w:tc>
          <w:tcPr>
            <w:tcW w:type="dxa" w:w="2507"/>
            <w:shd w:fill="E8EEF5" w:color="auto" w:val="clear"/>
            <w:tcMar>
              <w:top w:type="dxa" w:w="60"/>
              <w:left w:type="dxa" w:w="100"/>
              <w:bottom w:type="dxa" w:w="60"/>
              <w:right w:type="dxa" w:w="100"/>
            </w:tcMar>
          </w:tcPr>
          <w:p>
            <w:pPr>
              <w:spacing w:after="40"/>
            </w:pPr>
            <w:r>
              <w:rPr>
                <w:sz w:val="19"/>
                <w:szCs w:val="19"/>
              </w:rPr>
              <w:t xml:space="preserve">Trois ouvertures</w:t>
            </w:r>
          </w:p>
        </w:tc>
      </w:tr>
      <w:tr>
        <w:tc>
          <w:tcPr>
            <w:tcW w:type="dxa" w:w="1542"/>
            <w:tcMar>
              <w:top w:type="dxa" w:w="60"/>
              <w:left w:type="dxa" w:w="100"/>
              <w:bottom w:type="dxa" w:w="60"/>
              <w:right w:type="dxa" w:w="100"/>
            </w:tcMar>
          </w:tcPr>
          <w:p>
            <w:pPr>
              <w:spacing w:after="40"/>
            </w:pPr>
            <w:r>
              <w:rPr>
                <w:sz w:val="19"/>
                <w:szCs w:val="19"/>
              </w:rPr>
              <w:t xml:space="preserve">15:00–15:15</w:t>
            </w:r>
          </w:p>
        </w:tc>
        <w:tc>
          <w:tcPr>
            <w:tcW w:type="dxa" w:w="963"/>
            <w:tcMar>
              <w:top w:type="dxa" w:w="60"/>
              <w:left w:type="dxa" w:w="100"/>
              <w:bottom w:type="dxa" w:w="60"/>
              <w:right w:type="dxa" w:w="100"/>
            </w:tcMar>
          </w:tcPr>
          <w:p>
            <w:pPr>
              <w:spacing w:after="40"/>
            </w:pPr>
            <w:r>
              <w:rPr>
                <w:sz w:val="19"/>
                <w:szCs w:val="19"/>
              </w:rPr>
              <w:t xml:space="preserve">15</w:t>
            </w:r>
          </w:p>
        </w:tc>
        <w:tc>
          <w:tcPr>
            <w:tcW w:type="dxa" w:w="4626"/>
            <w:tcMar>
              <w:top w:type="dxa" w:w="60"/>
              <w:left w:type="dxa" w:w="100"/>
              <w:bottom w:type="dxa" w:w="60"/>
              <w:right w:type="dxa" w:w="100"/>
            </w:tcMar>
          </w:tcPr>
          <w:p>
            <w:pPr>
              <w:spacing w:after="40"/>
            </w:pPr>
            <w:r>
              <w:rPr>
                <w:sz w:val="19"/>
                <w:szCs w:val="19"/>
              </w:rPr>
              <w:t xml:space="preserve">Pause</w:t>
            </w:r>
          </w:p>
        </w:tc>
        <w:tc>
          <w:tcPr>
            <w:tcW w:type="dxa" w:w="2507"/>
            <w:tcMar>
              <w:top w:type="dxa" w:w="60"/>
              <w:left w:type="dxa" w:w="100"/>
              <w:bottom w:type="dxa" w:w="60"/>
              <w:right w:type="dxa" w:w="100"/>
            </w:tcMar>
          </w:tcPr>
          <w:p>
            <w:pPr>
              <w:spacing w:after="40"/>
            </w:pPr>
          </w:p>
        </w:tc>
      </w:tr>
      <w:tr>
        <w:tc>
          <w:tcPr>
            <w:tcW w:type="dxa" w:w="1542"/>
            <w:shd w:fill="E8EEF5" w:color="auto" w:val="clear"/>
            <w:tcMar>
              <w:top w:type="dxa" w:w="60"/>
              <w:left w:type="dxa" w:w="100"/>
              <w:bottom w:type="dxa" w:w="60"/>
              <w:right w:type="dxa" w:w="100"/>
            </w:tcMar>
          </w:tcPr>
          <w:p>
            <w:pPr>
              <w:spacing w:after="40"/>
            </w:pPr>
            <w:r>
              <w:rPr>
                <w:sz w:val="19"/>
                <w:szCs w:val="19"/>
              </w:rPr>
              <w:t xml:space="preserve">15:15–16:30</w:t>
            </w:r>
          </w:p>
        </w:tc>
        <w:tc>
          <w:tcPr>
            <w:tcW w:type="dxa" w:w="963"/>
            <w:shd w:fill="E8EEF5" w:color="auto" w:val="clear"/>
            <w:tcMar>
              <w:top w:type="dxa" w:w="60"/>
              <w:left w:type="dxa" w:w="100"/>
              <w:bottom w:type="dxa" w:w="60"/>
              <w:right w:type="dxa" w:w="100"/>
            </w:tcMar>
          </w:tcPr>
          <w:p>
            <w:pPr>
              <w:spacing w:after="40"/>
            </w:pPr>
            <w:r>
              <w:rPr>
                <w:sz w:val="19"/>
                <w:szCs w:val="19"/>
              </w:rPr>
              <w:t xml:space="preserve">75</w:t>
            </w:r>
          </w:p>
        </w:tc>
        <w:tc>
          <w:tcPr>
            <w:tcW w:type="dxa" w:w="4626"/>
            <w:shd w:fill="E8EEF5" w:color="auto" w:val="clear"/>
            <w:tcMar>
              <w:top w:type="dxa" w:w="60"/>
              <w:left w:type="dxa" w:w="100"/>
              <w:bottom w:type="dxa" w:w="60"/>
              <w:right w:type="dxa" w:w="100"/>
            </w:tcMar>
          </w:tcPr>
          <w:p>
            <w:pPr>
              <w:spacing w:after="40"/>
            </w:pPr>
            <w:r>
              <w:rPr>
                <w:sz w:val="19"/>
                <w:szCs w:val="19"/>
              </w:rPr>
              <w:t xml:space="preserve">A7 — Transfert sur le cas ALTA</w:t>
            </w:r>
          </w:p>
        </w:tc>
        <w:tc>
          <w:tcPr>
            <w:tcW w:type="dxa" w:w="2507"/>
            <w:shd w:fill="E8EEF5" w:color="auto" w:val="clear"/>
            <w:tcMar>
              <w:top w:type="dxa" w:w="60"/>
              <w:left w:type="dxa" w:w="100"/>
              <w:bottom w:type="dxa" w:w="60"/>
              <w:right w:type="dxa" w:w="100"/>
            </w:tcMar>
          </w:tcPr>
          <w:p>
            <w:pPr>
              <w:spacing w:after="40"/>
            </w:pPr>
            <w:r>
              <w:rPr>
                <w:sz w:val="19"/>
                <w:szCs w:val="19"/>
              </w:rPr>
              <w:t xml:space="preserve">Deux pitchs + écrit bref</w:t>
            </w:r>
          </w:p>
        </w:tc>
      </w:tr>
      <w:tr>
        <w:tc>
          <w:tcPr>
            <w:tcW w:type="dxa" w:w="1542"/>
            <w:tcMar>
              <w:top w:type="dxa" w:w="60"/>
              <w:left w:type="dxa" w:w="100"/>
              <w:bottom w:type="dxa" w:w="60"/>
              <w:right w:type="dxa" w:w="100"/>
            </w:tcMar>
          </w:tcPr>
          <w:p>
            <w:pPr>
              <w:spacing w:after="40"/>
            </w:pPr>
            <w:r>
              <w:rPr>
                <w:sz w:val="19"/>
                <w:szCs w:val="19"/>
              </w:rPr>
              <w:t xml:space="preserve">16:30–17:00</w:t>
            </w:r>
          </w:p>
        </w:tc>
        <w:tc>
          <w:tcPr>
            <w:tcW w:type="dxa" w:w="963"/>
            <w:tcMar>
              <w:top w:type="dxa" w:w="60"/>
              <w:left w:type="dxa" w:w="100"/>
              <w:bottom w:type="dxa" w:w="60"/>
              <w:right w:type="dxa" w:w="100"/>
            </w:tcMar>
          </w:tcPr>
          <w:p>
            <w:pPr>
              <w:spacing w:after="40"/>
            </w:pPr>
            <w:r>
              <w:rPr>
                <w:sz w:val="19"/>
                <w:szCs w:val="19"/>
              </w:rPr>
              <w:t xml:space="preserve">30</w:t>
            </w:r>
          </w:p>
        </w:tc>
        <w:tc>
          <w:tcPr>
            <w:tcW w:type="dxa" w:w="4626"/>
            <w:tcMar>
              <w:top w:type="dxa" w:w="60"/>
              <w:left w:type="dxa" w:w="100"/>
              <w:bottom w:type="dxa" w:w="60"/>
              <w:right w:type="dxa" w:w="100"/>
            </w:tcMar>
          </w:tcPr>
          <w:p>
            <w:pPr>
              <w:spacing w:after="40"/>
            </w:pPr>
            <w:r>
              <w:rPr>
                <w:sz w:val="19"/>
                <w:szCs w:val="19"/>
              </w:rPr>
              <w:t xml:space="preserve">A8 — Bilan et projection</w:t>
            </w:r>
          </w:p>
        </w:tc>
        <w:tc>
          <w:tcPr>
            <w:tcW w:type="dxa" w:w="2507"/>
            <w:tcMar>
              <w:top w:type="dxa" w:w="60"/>
              <w:left w:type="dxa" w:w="100"/>
              <w:bottom w:type="dxa" w:w="60"/>
              <w:right w:type="dxa" w:w="100"/>
            </w:tcMar>
          </w:tcPr>
          <w:p>
            <w:pPr>
              <w:spacing w:after="40"/>
            </w:pPr>
            <w:r>
              <w:rPr>
                <w:sz w:val="19"/>
                <w:szCs w:val="19"/>
              </w:rPr>
              <w:t xml:space="preserve">Ticket de sortie individuel</w:t>
            </w:r>
          </w:p>
        </w:tc>
      </w:tr>
    </w:tbl>
    <w:p>
      <w:pPr>
        <w:spacing w:after="120"/>
      </w:pPr>
    </w:p>
    <w:p>
      <w:pPr>
        <w:spacing w:after="120"/>
      </w:pPr>
      <w:r>
        <w:t xml:space="preserve">390 minutes d’activités et 30 minutes de pauses.</w:t>
      </w:r>
    </w:p>
    <w:p>
      <w:pPr>
        <w:spacing w:after="120"/>
      </w:pPr>
      <w:r>
        <w:rPr>
          <w:b/>
          <w:bCs/>
        </w:rPr>
        <w:t xml:space="preserve">Règle d’animation.</w:t>
      </w:r>
      <w:r>
        <w:t xml:space="preserve"> Consignes brèves, travail en parallèle, observation ciblée et second essai. Les démonstrations et corrections sont intégrées aux ateliers ; éviter un exposé long avant toute prise de parole.</w:t>
      </w:r>
    </w:p>
    <w:p>
      <w:pPr>
        <w:spacing w:after="120"/>
      </w:pPr>
      <w:r>
        <w:rPr>
          <w:b/>
          <w:bCs/>
        </w:rPr>
        <w:t xml:space="preserve">Si le temps manque.</w:t>
      </w:r>
      <w:r>
        <w:t xml:space="preserve"> Réduire d’abord les restitutions collectives et le nombre d’exemples commentés. Préserver les essais individuels, le feedback et le rejeu. Ne pas supprimer A7 pour prolonger la théorie.</w:t>
      </w:r>
    </w:p>
    <w:p>
      <w:pPr>
        <w:spacing w:after="120"/>
      </w:pPr>
      <w:r>
        <w:rPr>
          <w:b/>
          <w:bCs/>
        </w:rPr>
        <w:t xml:space="preserve">À préparer.</w:t>
      </w:r>
      <w:r>
        <w:t xml:space="preserve"> Une V1 par étudiant, fiche ERP, livrets (pages A2/A3), cartes de rôles A6, fiche ALTA, grille d’observation, ticket A8, chronomètre, papier, stylos. Ordinateur facultatif.</w:t>
      </w:r>
    </w:p>
    <w:p>
      <w:pPr>
        <w:pStyle w:val="Heading1"/>
      </w:pPr>
      <w:r>
        <w:t xml:space="preserve">Le cas ERP : ce que l’on peut affirmer</w:t>
      </w:r>
    </w:p>
    <w:p>
      <w:pPr>
        <w:spacing w:after="120"/>
      </w:pPr>
      <w:r>
        <w:t xml:space="preserve">Cas pédagogique fictif, source commune pour A1 à A6.</w:t>
      </w:r>
    </w:p>
    <w:p>
      <w:pPr>
        <w:spacing w:after="120"/>
      </w:pPr>
      <w:r>
        <w:t xml:space="preserve">Le scan de vulnérabilités a identifié une faille critique, indiquée CVSS 9.8, sur le serveur de gestion des commandes de l’ERP interne. Elle permet une exécution de code à distance sans authentification. Si elle est exploitée, un attaquant peut prendre le contrôle du serveur, chiffrer la base ou exfiltrer des données clients. Un correctif éditeur existe. Son déploiement nécessite un arrêt programmé de quatre heures et une intervention externe en heures non ouvrées estimée à 4 500 €.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shd w:fill="1F3A5F" w:color="auto" w:val="clear"/>
            <w:tcMar>
              <w:top w:type="dxa" w:w="60"/>
              <w:left w:type="dxa" w:w="100"/>
              <w:bottom w:type="dxa" w:w="60"/>
              <w:right w:type="dxa" w:w="100"/>
            </w:tcMar>
          </w:tcPr>
          <w:p>
            <w:pPr>
              <w:spacing w:after="40"/>
            </w:pPr>
            <w:r>
              <w:rPr>
                <w:b/>
                <w:bCs/>
                <w:color w:val="FFFFFF"/>
                <w:sz w:val="19"/>
                <w:szCs w:val="19"/>
              </w:rPr>
              <w:t xml:space="preserve">Établi dans le cas</w:t>
            </w:r>
          </w:p>
        </w:tc>
        <w:tc>
          <w:tcPr>
            <w:tcW w:type="dxa" w:w="4819"/>
            <w:shd w:fill="1F3A5F" w:color="auto" w:val="clear"/>
            <w:tcMar>
              <w:top w:type="dxa" w:w="60"/>
              <w:left w:type="dxa" w:w="100"/>
              <w:bottom w:type="dxa" w:w="60"/>
              <w:right w:type="dxa" w:w="100"/>
            </w:tcMar>
          </w:tcPr>
          <w:p>
            <w:pPr>
              <w:spacing w:after="40"/>
            </w:pPr>
            <w:r>
              <w:rPr>
                <w:b/>
                <w:bCs/>
                <w:color w:val="FFFFFF"/>
                <w:sz w:val="19"/>
                <w:szCs w:val="19"/>
              </w:rPr>
              <w:t xml:space="preserve">Non fourni : ne pas inventer</w:t>
            </w:r>
          </w:p>
        </w:tc>
      </w:tr>
      <w:tr>
        <w:tc>
          <w:tcPr>
            <w:tcW w:type="dxa" w:w="4819"/>
            <w:tcMar>
              <w:top w:type="dxa" w:w="60"/>
              <w:left w:type="dxa" w:w="100"/>
              <w:bottom w:type="dxa" w:w="60"/>
              <w:right w:type="dxa" w:w="100"/>
            </w:tcMar>
          </w:tcPr>
          <w:p>
            <w:pPr>
              <w:spacing w:after="40"/>
            </w:pPr>
            <w:r>
              <w:rPr>
                <w:sz w:val="19"/>
                <w:szCs w:val="19"/>
              </w:rPr>
              <w:t xml:space="preserve">Vulnérabilité et conséquences possibles</w:t>
            </w:r>
          </w:p>
        </w:tc>
        <w:tc>
          <w:tcPr>
            <w:tcW w:type="dxa" w:w="4819"/>
            <w:tcMar>
              <w:top w:type="dxa" w:w="60"/>
              <w:left w:type="dxa" w:w="100"/>
              <w:bottom w:type="dxa" w:w="60"/>
              <w:right w:type="dxa" w:w="100"/>
            </w:tcMar>
          </w:tcPr>
          <w:p>
            <w:pPr>
              <w:spacing w:after="40"/>
            </w:pPr>
            <w:r>
              <w:rPr>
                <w:sz w:val="19"/>
                <w:szCs w:val="19"/>
              </w:rPr>
              <w:t xml:space="preserve">Exploitation effective, vol de données ou chiffrement déjà survenu</w:t>
            </w:r>
          </w:p>
        </w:tc>
      </w:tr>
      <w:tr>
        <w:tc>
          <w:tcPr>
            <w:tcW w:type="dxa" w:w="4819"/>
            <w:shd w:fill="E8EEF5" w:color="auto" w:val="clear"/>
            <w:tcMar>
              <w:top w:type="dxa" w:w="60"/>
              <w:left w:type="dxa" w:w="100"/>
              <w:bottom w:type="dxa" w:w="60"/>
              <w:right w:type="dxa" w:w="100"/>
            </w:tcMar>
          </w:tcPr>
          <w:p>
            <w:pPr>
              <w:spacing w:after="40"/>
            </w:pPr>
            <w:r>
              <w:rPr>
                <w:sz w:val="19"/>
                <w:szCs w:val="19"/>
              </w:rPr>
              <w:t xml:space="preserve">Arrêt programmé de 4 heures</w:t>
            </w:r>
          </w:p>
        </w:tc>
        <w:tc>
          <w:tcPr>
            <w:tcW w:type="dxa" w:w="4819"/>
            <w:shd w:fill="E8EEF5" w:color="auto" w:val="clear"/>
            <w:tcMar>
              <w:top w:type="dxa" w:w="60"/>
              <w:left w:type="dxa" w:w="100"/>
              <w:bottom w:type="dxa" w:w="60"/>
              <w:right w:type="dxa" w:w="100"/>
            </w:tcMar>
          </w:tcPr>
          <w:p>
            <w:pPr>
              <w:spacing w:after="40"/>
            </w:pPr>
            <w:r>
              <w:rPr>
                <w:sz w:val="19"/>
                <w:szCs w:val="19"/>
              </w:rPr>
              <w:t xml:space="preserve">Date précise, service réellement disponible 24 h/24, créneau validé</w:t>
            </w:r>
          </w:p>
        </w:tc>
      </w:tr>
      <w:tr>
        <w:tc>
          <w:tcPr>
            <w:tcW w:type="dxa" w:w="4819"/>
            <w:tcMar>
              <w:top w:type="dxa" w:w="60"/>
              <w:left w:type="dxa" w:w="100"/>
              <w:bottom w:type="dxa" w:w="60"/>
              <w:right w:type="dxa" w:w="100"/>
            </w:tcMar>
          </w:tcPr>
          <w:p>
            <w:pPr>
              <w:spacing w:after="40"/>
            </w:pPr>
            <w:r>
              <w:rPr>
                <w:sz w:val="19"/>
                <w:szCs w:val="19"/>
              </w:rPr>
              <w:t xml:space="preserve">Estimation prestataire : 4 500 €</w:t>
            </w:r>
          </w:p>
        </w:tc>
        <w:tc>
          <w:tcPr>
            <w:tcW w:type="dxa" w:w="4819"/>
            <w:tcMar>
              <w:top w:type="dxa" w:w="60"/>
              <w:left w:type="dxa" w:w="100"/>
              <w:bottom w:type="dxa" w:w="60"/>
              <w:right w:type="dxa" w:w="100"/>
            </w:tcMar>
          </w:tcPr>
          <w:p>
            <w:pPr>
              <w:spacing w:after="40"/>
            </w:pPr>
            <w:r>
              <w:rPr>
                <w:sz w:val="19"/>
                <w:szCs w:val="19"/>
              </w:rPr>
              <w:t xml:space="preserve">Coût total de l’arrêt, pertes quotidiennes, probabilité d’attaque</w:t>
            </w:r>
          </w:p>
        </w:tc>
      </w:tr>
      <w:tr>
        <w:tc>
          <w:tcPr>
            <w:tcW w:type="dxa" w:w="4819"/>
            <w:shd w:fill="E8EEF5" w:color="auto" w:val="clear"/>
            <w:tcMar>
              <w:top w:type="dxa" w:w="60"/>
              <w:left w:type="dxa" w:w="100"/>
              <w:bottom w:type="dxa" w:w="60"/>
              <w:right w:type="dxa" w:w="100"/>
            </w:tcMar>
          </w:tcPr>
          <w:p>
            <w:pPr>
              <w:spacing w:after="40"/>
            </w:pPr>
            <w:r>
              <w:rPr>
                <w:sz w:val="19"/>
                <w:szCs w:val="19"/>
              </w:rPr>
              <w:t xml:space="preserve">Correctif éditeur disponible</w:t>
            </w:r>
          </w:p>
        </w:tc>
        <w:tc>
          <w:tcPr>
            <w:tcW w:type="dxa" w:w="4819"/>
            <w:shd w:fill="E8EEF5" w:color="auto" w:val="clear"/>
            <w:tcMar>
              <w:top w:type="dxa" w:w="60"/>
              <w:left w:type="dxa" w:w="100"/>
              <w:bottom w:type="dxa" w:w="60"/>
              <w:right w:type="dxa" w:w="100"/>
            </w:tcMar>
          </w:tcPr>
          <w:p>
            <w:pPr>
              <w:spacing w:after="40"/>
            </w:pPr>
            <w:r>
              <w:rPr>
                <w:sz w:val="19"/>
                <w:szCs w:val="19"/>
              </w:rPr>
              <w:t xml:space="preserve">Garantie d’absence de risque après intervention, état des sauvegardes</w:t>
            </w:r>
          </w:p>
        </w:tc>
      </w:tr>
    </w:tbl>
    <w:p>
      <w:pPr>
        <w:spacing w:after="120"/>
      </w:pPr>
    </w:p>
    <w:p>
      <w:pPr>
        <w:pBdr>
          <w:left w:val="single" w:color="1F3A5F" w:sz="12" w:space="8"/>
        </w:pBdr>
        <w:spacing w:after="120"/>
        <w:ind w:left="400"/>
      </w:pPr>
      <w:r>
        <w:rPr>
          <w:i/>
          <w:iCs/>
        </w:rPr>
        <w:t xml:space="preserve">Ouverture attendue (exemple, pas texte à mémoriser) : « Je sollicite votre accord de principe sur l’intervention estimée à 4 500 € et l’arrêt programmé de quatre heures pour corriger la faille de notre outil de commande. Le créneau devra être confirmé avec les opérations. »</w:t>
      </w:r>
    </w:p>
    <w:p>
      <w:pPr>
        <w:spacing w:after="120"/>
      </w:pPr>
      <w:r>
        <w:t xml:space="preserve">L’accord de principe distingue l’arbitrage demandé de la planification non fournie. Une autre formulation est recevable si elle rend la décision compréhensible et ne transforme pas l’estimation en coût total garanti.</w:t>
      </w:r>
    </w:p>
    <w:p>
      <w:pPr>
        <w:spacing w:after="120"/>
      </w:pPr>
      <w:r>
        <w:rPr>
          <w:b/>
          <w:bCs/>
        </w:rPr>
        <w:t xml:space="preserve">Traduire utilement.</w:t>
      </w:r>
      <w:r>
        <w:t xml:space="preserve"> ERP : outil de gestion des commandes. RCE : possibilité de prendre le contrôle du serveur à distance. Exfiltration : sortie non autorisée de données. On conserve un terme technique lorsqu’il aide à décider et on l’explique ; pas d’interdiction absolue du vocabulaire cyber.</w:t>
      </w:r>
    </w:p>
    <w:p>
      <w:pPr>
        <w:spacing w:after="120"/>
      </w:pPr>
      <w:r>
        <w:rPr>
          <w:b/>
          <w:bCs/>
        </w:rPr>
        <w:t xml:space="preserve">Point de méthode.</w:t>
      </w:r>
      <w:r>
        <w:t xml:space="preserve"> SCQA sert à organiser le raisonnement. Pour la restitution, annoncer la recommandation puis les raisons. La règle des 30 premières secondes est une contrainte d’entraînement du module, pas une loi universelle.</w:t>
      </w:r>
    </w:p>
    <w:p>
      <w:pPr>
        <w:pStyle w:val="Heading1"/>
      </w:pPr>
      <w:r>
        <w:t xml:space="preserve">A1 — Réactiver sans réciter (09:00–09:30)</w:t>
      </w:r>
    </w:p>
    <w:p>
      <w:pPr>
        <w:spacing w:after="120"/>
      </w:pPr>
      <w:r>
        <w:t xml:space="preserve">C1 + C2 • Individuel, puis binômes.</w:t>
      </w:r>
    </w:p>
    <w:p>
      <w:pPr>
        <w:pBdr>
          <w:left w:val="single" w:color="1F3A5F" w:sz="12" w:space="8"/>
        </w:pBdr>
        <w:spacing w:after="120"/>
        <w:ind w:left="400"/>
      </w:pPr>
      <w:r>
        <w:rPr>
          <w:i/>
          <w:iCs/>
        </w:rPr>
        <w:t xml:space="preserve">Consigne : « Sans relire les slides, écrivez ce que SCQA vous aide à faire. Retrouvez la décision du cas ERP. Après vérification des faits, préparez un message de 60 secondes destiné à la direction. Votre partenaire devra reformuler l’accord demandé.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42"/>
        <w:gridCol w:w="8096"/>
      </w:tblGrid>
      <w:tr>
        <w:trPr>
          <w:tblHeader/>
        </w:trPr>
        <w:tc>
          <w:tcPr>
            <w:tcW w:type="dxa" w:w="1542"/>
            <w:shd w:fill="1F3A5F" w:color="auto" w:val="clear"/>
            <w:tcMar>
              <w:top w:type="dxa" w:w="60"/>
              <w:left w:type="dxa" w:w="100"/>
              <w:bottom w:type="dxa" w:w="60"/>
              <w:right w:type="dxa" w:w="100"/>
            </w:tcMar>
          </w:tcPr>
          <w:p>
            <w:pPr>
              <w:spacing w:after="40"/>
            </w:pPr>
            <w:r>
              <w:rPr>
                <w:b/>
                <w:bCs/>
                <w:color w:val="FFFFFF"/>
                <w:sz w:val="19"/>
                <w:szCs w:val="19"/>
              </w:rPr>
              <w:t xml:space="preserve">Minutes</w:t>
            </w:r>
          </w:p>
        </w:tc>
        <w:tc>
          <w:tcPr>
            <w:tcW w:type="dxa" w:w="8096"/>
            <w:shd w:fill="1F3A5F" w:color="auto" w:val="clear"/>
            <w:tcMar>
              <w:top w:type="dxa" w:w="60"/>
              <w:left w:type="dxa" w:w="100"/>
              <w:bottom w:type="dxa" w:w="60"/>
              <w:right w:type="dxa" w:w="100"/>
            </w:tcMar>
          </w:tcPr>
          <w:p>
            <w:pPr>
              <w:spacing w:after="40"/>
            </w:pPr>
            <w:r>
              <w:rPr>
                <w:b/>
                <w:bCs/>
                <w:color w:val="FFFFFF"/>
                <w:sz w:val="19"/>
                <w:szCs w:val="19"/>
              </w:rPr>
              <w:t xml:space="preserve">Animation</w:t>
            </w:r>
          </w:p>
        </w:tc>
      </w:tr>
      <w:tr>
        <w:tc>
          <w:tcPr>
            <w:tcW w:type="dxa" w:w="1542"/>
            <w:tcMar>
              <w:top w:type="dxa" w:w="60"/>
              <w:left w:type="dxa" w:w="100"/>
              <w:bottom w:type="dxa" w:w="60"/>
              <w:right w:type="dxa" w:w="100"/>
            </w:tcMar>
          </w:tcPr>
          <w:p>
            <w:pPr>
              <w:spacing w:after="40"/>
            </w:pPr>
            <w:r>
              <w:rPr>
                <w:sz w:val="19"/>
                <w:szCs w:val="19"/>
              </w:rPr>
              <w:t xml:space="preserve">0–5</w:t>
            </w:r>
          </w:p>
        </w:tc>
        <w:tc>
          <w:tcPr>
            <w:tcW w:type="dxa" w:w="8096"/>
            <w:tcMar>
              <w:top w:type="dxa" w:w="60"/>
              <w:left w:type="dxa" w:w="100"/>
              <w:bottom w:type="dxa" w:w="60"/>
              <w:right w:type="dxa" w:w="100"/>
            </w:tcMar>
          </w:tcPr>
          <w:p>
            <w:pPr>
              <w:spacing w:after="40"/>
            </w:pPr>
            <w:r>
              <w:rPr>
                <w:sz w:val="19"/>
                <w:szCs w:val="19"/>
              </w:rPr>
              <w:t xml:space="preserve">Accueil : droit à l’essai, objectif de consolidation et clarification du calendrier d’évaluation.</w:t>
            </w:r>
          </w:p>
        </w:tc>
      </w:tr>
      <w:tr>
        <w:tc>
          <w:tcPr>
            <w:tcW w:type="dxa" w:w="1542"/>
            <w:shd w:fill="E8EEF5" w:color="auto" w:val="clear"/>
            <w:tcMar>
              <w:top w:type="dxa" w:w="60"/>
              <w:left w:type="dxa" w:w="100"/>
              <w:bottom w:type="dxa" w:w="60"/>
              <w:right w:type="dxa" w:w="100"/>
            </w:tcMar>
          </w:tcPr>
          <w:p>
            <w:pPr>
              <w:spacing w:after="40"/>
            </w:pPr>
            <w:r>
              <w:rPr>
                <w:sz w:val="19"/>
                <w:szCs w:val="19"/>
              </w:rPr>
              <w:t xml:space="preserve">5–10</w:t>
            </w:r>
          </w:p>
        </w:tc>
        <w:tc>
          <w:tcPr>
            <w:tcW w:type="dxa" w:w="8096"/>
            <w:shd w:fill="E8EEF5" w:color="auto" w:val="clear"/>
            <w:tcMar>
              <w:top w:type="dxa" w:w="60"/>
              <w:left w:type="dxa" w:w="100"/>
              <w:bottom w:type="dxa" w:w="60"/>
              <w:right w:type="dxa" w:w="100"/>
            </w:tcMar>
          </w:tcPr>
          <w:p>
            <w:pPr>
              <w:spacing w:after="40"/>
            </w:pPr>
            <w:r>
              <w:rPr>
                <w:sz w:val="19"/>
                <w:szCs w:val="19"/>
              </w:rPr>
              <w:t xml:space="preserve">Individuel sans aide : retrouver les quatre étapes et écrire la décision.</w:t>
            </w:r>
          </w:p>
        </w:tc>
      </w:tr>
      <w:tr>
        <w:tc>
          <w:tcPr>
            <w:tcW w:type="dxa" w:w="1542"/>
            <w:tcMar>
              <w:top w:type="dxa" w:w="60"/>
              <w:left w:type="dxa" w:w="100"/>
              <w:bottom w:type="dxa" w:w="60"/>
              <w:right w:type="dxa" w:w="100"/>
            </w:tcMar>
          </w:tcPr>
          <w:p>
            <w:pPr>
              <w:spacing w:after="40"/>
            </w:pPr>
            <w:r>
              <w:rPr>
                <w:sz w:val="19"/>
                <w:szCs w:val="19"/>
              </w:rPr>
              <w:t xml:space="preserve">10–15</w:t>
            </w:r>
          </w:p>
        </w:tc>
        <w:tc>
          <w:tcPr>
            <w:tcW w:type="dxa" w:w="8096"/>
            <w:tcMar>
              <w:top w:type="dxa" w:w="60"/>
              <w:left w:type="dxa" w:w="100"/>
              <w:bottom w:type="dxa" w:w="60"/>
              <w:right w:type="dxa" w:w="100"/>
            </w:tcMar>
          </w:tcPr>
          <w:p>
            <w:pPr>
              <w:spacing w:after="40"/>
            </w:pPr>
            <w:r>
              <w:rPr>
                <w:sz w:val="19"/>
                <w:szCs w:val="19"/>
              </w:rPr>
              <w:t xml:space="preserve">Distribuer la fiche ERP ; vérifier les chiffres et signaler les inconnues.</w:t>
            </w:r>
          </w:p>
        </w:tc>
      </w:tr>
      <w:tr>
        <w:tc>
          <w:tcPr>
            <w:tcW w:type="dxa" w:w="1542"/>
            <w:shd w:fill="E8EEF5" w:color="auto" w:val="clear"/>
            <w:tcMar>
              <w:top w:type="dxa" w:w="60"/>
              <w:left w:type="dxa" w:w="100"/>
              <w:bottom w:type="dxa" w:w="60"/>
              <w:right w:type="dxa" w:w="100"/>
            </w:tcMar>
          </w:tcPr>
          <w:p>
            <w:pPr>
              <w:spacing w:after="40"/>
            </w:pPr>
            <w:r>
              <w:rPr>
                <w:sz w:val="19"/>
                <w:szCs w:val="19"/>
              </w:rPr>
              <w:t xml:space="preserve">15–23</w:t>
            </w:r>
          </w:p>
        </w:tc>
        <w:tc>
          <w:tcPr>
            <w:tcW w:type="dxa" w:w="8096"/>
            <w:shd w:fill="E8EEF5" w:color="auto" w:val="clear"/>
            <w:tcMar>
              <w:top w:type="dxa" w:w="60"/>
              <w:left w:type="dxa" w:w="100"/>
              <w:bottom w:type="dxa" w:w="60"/>
              <w:right w:type="dxa" w:w="100"/>
            </w:tcMar>
          </w:tcPr>
          <w:p>
            <w:pPr>
              <w:spacing w:after="40"/>
            </w:pPr>
            <w:r>
              <w:rPr>
                <w:sz w:val="19"/>
                <w:szCs w:val="19"/>
              </w:rPr>
              <w:t xml:space="preserve">Binômes : 60 s de message chacun, reformulation par le partenaire, retour et échange.</w:t>
            </w:r>
          </w:p>
        </w:tc>
      </w:tr>
      <w:tr>
        <w:tc>
          <w:tcPr>
            <w:tcW w:type="dxa" w:w="1542"/>
            <w:tcMar>
              <w:top w:type="dxa" w:w="60"/>
              <w:left w:type="dxa" w:w="100"/>
              <w:bottom w:type="dxa" w:w="60"/>
              <w:right w:type="dxa" w:w="100"/>
            </w:tcMar>
          </w:tcPr>
          <w:p>
            <w:pPr>
              <w:spacing w:after="40"/>
            </w:pPr>
            <w:r>
              <w:rPr>
                <w:sz w:val="19"/>
                <w:szCs w:val="19"/>
              </w:rPr>
              <w:t xml:space="preserve">23–28</w:t>
            </w:r>
          </w:p>
        </w:tc>
        <w:tc>
          <w:tcPr>
            <w:tcW w:type="dxa" w:w="8096"/>
            <w:tcMar>
              <w:top w:type="dxa" w:w="60"/>
              <w:left w:type="dxa" w:w="100"/>
              <w:bottom w:type="dxa" w:w="60"/>
              <w:right w:type="dxa" w:w="100"/>
            </w:tcMar>
          </w:tcPr>
          <w:p>
            <w:pPr>
              <w:spacing w:after="40"/>
            </w:pPr>
            <w:r>
              <w:rPr>
                <w:sz w:val="19"/>
                <w:szCs w:val="19"/>
              </w:rPr>
              <w:t xml:space="preserve">Débrief : deux difficultés récurrentes et une ouverture qui rend la décision visible.</w:t>
            </w:r>
          </w:p>
        </w:tc>
      </w:tr>
      <w:tr>
        <w:tc>
          <w:tcPr>
            <w:tcW w:type="dxa" w:w="1542"/>
            <w:shd w:fill="E8EEF5" w:color="auto" w:val="clear"/>
            <w:tcMar>
              <w:top w:type="dxa" w:w="60"/>
              <w:left w:type="dxa" w:w="100"/>
              <w:bottom w:type="dxa" w:w="60"/>
              <w:right w:type="dxa" w:w="100"/>
            </w:tcMar>
          </w:tcPr>
          <w:p>
            <w:pPr>
              <w:spacing w:after="40"/>
            </w:pPr>
            <w:r>
              <w:rPr>
                <w:sz w:val="19"/>
                <w:szCs w:val="19"/>
              </w:rPr>
              <w:t xml:space="preserve">28–30</w:t>
            </w:r>
          </w:p>
        </w:tc>
        <w:tc>
          <w:tcPr>
            <w:tcW w:type="dxa" w:w="8096"/>
            <w:shd w:fill="E8EEF5" w:color="auto" w:val="clear"/>
            <w:tcMar>
              <w:top w:type="dxa" w:w="60"/>
              <w:left w:type="dxa" w:w="100"/>
              <w:bottom w:type="dxa" w:w="60"/>
              <w:right w:type="dxa" w:w="100"/>
            </w:tcMar>
          </w:tcPr>
          <w:p>
            <w:pPr>
              <w:spacing w:after="40"/>
            </w:pPr>
            <w:r>
              <w:rPr>
                <w:sz w:val="19"/>
                <w:szCs w:val="19"/>
              </w:rPr>
              <w:t xml:space="preserve">Chacun écrit sa priorité pour le premier entraînement.</w:t>
            </w:r>
          </w:p>
        </w:tc>
      </w:tr>
    </w:tbl>
    <w:p>
      <w:pPr>
        <w:spacing w:after="120"/>
      </w:pPr>
    </w:p>
    <w:p>
      <w:pPr>
        <w:spacing w:after="120"/>
      </w:pPr>
      <w:r>
        <w:rPr>
          <w:b/>
          <w:bCs/>
        </w:rPr>
        <w:t xml:space="preserve">Corrigé.</w:t>
      </w:r>
      <w:r>
        <w:t xml:space="preserve"> S : les commandes dépendent de l’ERP. C : une vulnérabilité expose cette activité et les données à un risque. Q : autoriser l’intervention et son interruption programmée ? A : recommander le correctif, avec l’estimation de 4 500 € et quatre heures d’arrêt, sous réserve de confirmation du créneau.</w:t>
      </w:r>
    </w:p>
    <w:p>
      <w:pPr>
        <w:spacing w:after="120"/>
      </w:pPr>
      <w:r>
        <w:rPr>
          <w:b/>
          <w:bCs/>
        </w:rPr>
        <w:t xml:space="preserve">Réussite :</w:t>
      </w:r>
      <w:r>
        <w:t xml:space="preserve"> la demande est reformulable ; les chiffres sont exacts ; un risque est exprimé comme possible. Une hésitation orale n’annule pas un raisonnement correct.</w:t>
      </w:r>
    </w:p>
    <w:p>
      <w:pPr>
        <w:spacing w:after="120"/>
      </w:pPr>
      <w:r>
        <w:rPr>
          <w:b/>
          <w:bCs/>
        </w:rPr>
        <w:t xml:space="preserve">Débrief :</w:t>
      </w:r>
      <w:r>
        <w:t xml:space="preserve"> « Quelle phrase vous a permis de comprendre la décision ? » • « Avez-vous entendu un fait qui n’était pas dans le cas ? » • « Quelle information est nécessaire pour décider, et laquelle peut attendre ? »</w:t>
      </w:r>
    </w:p>
    <w:p>
      <w:pPr>
        <w:spacing w:after="120"/>
      </w:pPr>
      <w:r>
        <w:rPr>
          <w:b/>
          <w:bCs/>
        </w:rPr>
        <w:t xml:space="preserve">Adaptation.</w:t>
      </w:r>
      <w:r>
        <w:t xml:space="preserve"> Sept étudiants : deux binômes et un trinôme (trois passages de 60 s et retours de 60 s tiennent en huit minutes). Étudiant absent le 25 : fiche et définitions dès le départ.</w:t>
      </w:r>
    </w:p>
    <w:p>
      <w:pPr>
        <w:pStyle w:val="Heading1"/>
      </w:pPr>
      <w:r>
        <w:t xml:space="preserve">A2 — Clinique des formulations (09:30–10:15)</w:t>
      </w:r>
    </w:p>
    <w:p>
      <w:pPr>
        <w:spacing w:after="120"/>
      </w:pPr>
      <w:r>
        <w:t xml:space="preserve">C1 + C2 • Distinguer simplification, précision et surpromesse.</w:t>
      </w:r>
    </w:p>
    <w:p>
      <w:pPr>
        <w:spacing w:after="120"/>
      </w:pPr>
      <w:r>
        <w:t xml:space="preserve">Consigne : classer les six formulations (fait fidèle, conséquence possible, demande claire, formulation à corriger ; plusieurs étiquettes possibles), puis réécrire trois phrases en gardant les données du cas.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37"/>
        <w:gridCol w:w="5301"/>
      </w:tblGrid>
      <w:tr>
        <w:trPr>
          <w:tblHeader/>
        </w:trPr>
        <w:tc>
          <w:tcPr>
            <w:tcW w:type="dxa" w:w="4337"/>
            <w:shd w:fill="1F3A5F" w:color="auto" w:val="clear"/>
            <w:tcMar>
              <w:top w:type="dxa" w:w="60"/>
              <w:left w:type="dxa" w:w="100"/>
              <w:bottom w:type="dxa" w:w="60"/>
              <w:right w:type="dxa" w:w="100"/>
            </w:tcMar>
          </w:tcPr>
          <w:p>
            <w:pPr>
              <w:spacing w:after="40"/>
            </w:pPr>
            <w:r>
              <w:rPr>
                <w:b/>
                <w:bCs/>
                <w:color w:val="FFFFFF"/>
                <w:sz w:val="19"/>
                <w:szCs w:val="19"/>
              </w:rPr>
              <w:t xml:space="preserve">Formulation</w:t>
            </w:r>
          </w:p>
        </w:tc>
        <w:tc>
          <w:tcPr>
            <w:tcW w:type="dxa" w:w="5301"/>
            <w:shd w:fill="1F3A5F" w:color="auto" w:val="clear"/>
            <w:tcMar>
              <w:top w:type="dxa" w:w="60"/>
              <w:left w:type="dxa" w:w="100"/>
              <w:bottom w:type="dxa" w:w="60"/>
              <w:right w:type="dxa" w:w="100"/>
            </w:tcMar>
          </w:tcPr>
          <w:p>
            <w:pPr>
              <w:spacing w:after="40"/>
            </w:pPr>
            <w:r>
              <w:rPr>
                <w:b/>
                <w:bCs/>
                <w:color w:val="FFFFFF"/>
                <w:sz w:val="19"/>
                <w:szCs w:val="19"/>
              </w:rPr>
              <w:t xml:space="preserve">Repère de correction</w:t>
            </w:r>
          </w:p>
        </w:tc>
      </w:tr>
      <w:tr>
        <w:tc>
          <w:tcPr>
            <w:tcW w:type="dxa" w:w="4337"/>
            <w:tcMar>
              <w:top w:type="dxa" w:w="60"/>
              <w:left w:type="dxa" w:w="100"/>
              <w:bottom w:type="dxa" w:w="60"/>
              <w:right w:type="dxa" w:w="100"/>
            </w:tcMar>
          </w:tcPr>
          <w:p>
            <w:pPr>
              <w:spacing w:after="40"/>
            </w:pPr>
            <w:r>
              <w:rPr>
                <w:sz w:val="19"/>
                <w:szCs w:val="19"/>
              </w:rPr>
              <w:t xml:space="preserve">1. « Notre ERP a été piraté. »</w:t>
            </w:r>
          </w:p>
        </w:tc>
        <w:tc>
          <w:tcPr>
            <w:tcW w:type="dxa" w:w="5301"/>
            <w:tcMar>
              <w:top w:type="dxa" w:w="60"/>
              <w:left w:type="dxa" w:w="100"/>
              <w:bottom w:type="dxa" w:w="60"/>
              <w:right w:type="dxa" w:w="100"/>
            </w:tcMar>
          </w:tcPr>
          <w:p>
            <w:pPr>
              <w:spacing w:after="40"/>
            </w:pPr>
            <w:r>
              <w:rPr>
                <w:sz w:val="19"/>
                <w:szCs w:val="19"/>
              </w:rPr>
              <w:t xml:space="preserve">Non établi. Dire : « Une faille a été identifiée ; le cas n’indique pas si elle a été exploitée. »</w:t>
            </w:r>
          </w:p>
        </w:tc>
      </w:tr>
      <w:tr>
        <w:tc>
          <w:tcPr>
            <w:tcW w:type="dxa" w:w="4337"/>
            <w:shd w:fill="E8EEF5" w:color="auto" w:val="clear"/>
            <w:tcMar>
              <w:top w:type="dxa" w:w="60"/>
              <w:left w:type="dxa" w:w="100"/>
              <w:bottom w:type="dxa" w:w="60"/>
              <w:right w:type="dxa" w:w="100"/>
            </w:tcMar>
          </w:tcPr>
          <w:p>
            <w:pPr>
              <w:spacing w:after="40"/>
            </w:pPr>
            <w:r>
              <w:rPr>
                <w:sz w:val="19"/>
                <w:szCs w:val="19"/>
              </w:rPr>
              <w:t xml:space="preserve">2. « Une exploitation pourrait interrompre l’activité de commande. »</w:t>
            </w:r>
          </w:p>
        </w:tc>
        <w:tc>
          <w:tcPr>
            <w:tcW w:type="dxa" w:w="5301"/>
            <w:shd w:fill="E8EEF5" w:color="auto" w:val="clear"/>
            <w:tcMar>
              <w:top w:type="dxa" w:w="60"/>
              <w:left w:type="dxa" w:w="100"/>
              <w:bottom w:type="dxa" w:w="60"/>
              <w:right w:type="dxa" w:w="100"/>
            </w:tcMar>
          </w:tcPr>
          <w:p>
            <w:pPr>
              <w:spacing w:after="40"/>
            </w:pPr>
            <w:r>
              <w:rPr>
                <w:sz w:val="19"/>
                <w:szCs w:val="19"/>
              </w:rPr>
              <w:t xml:space="preserve">Risque correctement formulé. Ne pas le présenter comme un arrêt constaté.</w:t>
            </w:r>
          </w:p>
        </w:tc>
      </w:tr>
      <w:tr>
        <w:tc>
          <w:tcPr>
            <w:tcW w:type="dxa" w:w="4337"/>
            <w:tcMar>
              <w:top w:type="dxa" w:w="60"/>
              <w:left w:type="dxa" w:w="100"/>
              <w:bottom w:type="dxa" w:w="60"/>
              <w:right w:type="dxa" w:w="100"/>
            </w:tcMar>
          </w:tcPr>
          <w:p>
            <w:pPr>
              <w:spacing w:after="40"/>
            </w:pPr>
            <w:r>
              <w:rPr>
                <w:sz w:val="19"/>
                <w:szCs w:val="19"/>
              </w:rPr>
              <w:t xml:space="preserve">3. « Le correctif garantit la sauvegarde et l’intégrité de la base. »</w:t>
            </w:r>
          </w:p>
        </w:tc>
        <w:tc>
          <w:tcPr>
            <w:tcW w:type="dxa" w:w="5301"/>
            <w:tcMar>
              <w:top w:type="dxa" w:w="60"/>
              <w:left w:type="dxa" w:w="100"/>
              <w:bottom w:type="dxa" w:w="60"/>
              <w:right w:type="dxa" w:w="100"/>
            </w:tcMar>
          </w:tcPr>
          <w:p>
            <w:pPr>
              <w:spacing w:after="40"/>
            </w:pPr>
            <w:r>
              <w:rPr>
                <w:sz w:val="19"/>
                <w:szCs w:val="19"/>
              </w:rPr>
              <w:t xml:space="preserve">Garantie non étayée. Le correctif traite la faille ; les vérifications de sauvegarde sont à prévoir, pas à présumer.</w:t>
            </w:r>
          </w:p>
        </w:tc>
      </w:tr>
      <w:tr>
        <w:tc>
          <w:tcPr>
            <w:tcW w:type="dxa" w:w="4337"/>
            <w:shd w:fill="E8EEF5" w:color="auto" w:val="clear"/>
            <w:tcMar>
              <w:top w:type="dxa" w:w="60"/>
              <w:left w:type="dxa" w:w="100"/>
              <w:bottom w:type="dxa" w:w="60"/>
              <w:right w:type="dxa" w:w="100"/>
            </w:tcMar>
          </w:tcPr>
          <w:p>
            <w:pPr>
              <w:spacing w:after="40"/>
            </w:pPr>
            <w:r>
              <w:rPr>
                <w:sz w:val="19"/>
                <w:szCs w:val="19"/>
              </w:rPr>
              <w:t xml:space="preserve">4. « Comment déployer la solution en tenant compte du budget ? »</w:t>
            </w:r>
          </w:p>
        </w:tc>
        <w:tc>
          <w:tcPr>
            <w:tcW w:type="dxa" w:w="5301"/>
            <w:shd w:fill="E8EEF5" w:color="auto" w:val="clear"/>
            <w:tcMar>
              <w:top w:type="dxa" w:w="60"/>
              <w:left w:type="dxa" w:w="100"/>
              <w:bottom w:type="dxa" w:w="60"/>
              <w:right w:type="dxa" w:w="100"/>
            </w:tcMar>
          </w:tcPr>
          <w:p>
            <w:pPr>
              <w:spacing w:after="40"/>
            </w:pPr>
            <w:r>
              <w:rPr>
                <w:sz w:val="19"/>
                <w:szCs w:val="19"/>
              </w:rPr>
              <w:t xml:space="preserve">Question trop ouverte pour l’arbitrage visé. Demander l’accord sur 4 500 € estimés et 4 h d’arrêt.</w:t>
            </w:r>
          </w:p>
        </w:tc>
      </w:tr>
      <w:tr>
        <w:tc>
          <w:tcPr>
            <w:tcW w:type="dxa" w:w="4337"/>
            <w:tcMar>
              <w:top w:type="dxa" w:w="60"/>
              <w:left w:type="dxa" w:w="100"/>
              <w:bottom w:type="dxa" w:w="60"/>
              <w:right w:type="dxa" w:w="100"/>
            </w:tcMar>
          </w:tcPr>
          <w:p>
            <w:pPr>
              <w:spacing w:after="40"/>
            </w:pPr>
            <w:r>
              <w:rPr>
                <w:sz w:val="19"/>
                <w:szCs w:val="19"/>
              </w:rPr>
              <w:t xml:space="preserve">5. « L’intervention est estimée à 4 500 € ; le coût de l’arrêt n’est pas fourni. »</w:t>
            </w:r>
          </w:p>
        </w:tc>
        <w:tc>
          <w:tcPr>
            <w:tcW w:type="dxa" w:w="5301"/>
            <w:tcMar>
              <w:top w:type="dxa" w:w="60"/>
              <w:left w:type="dxa" w:w="100"/>
              <w:bottom w:type="dxa" w:w="60"/>
              <w:right w:type="dxa" w:w="100"/>
            </w:tcMar>
          </w:tcPr>
          <w:p>
            <w:pPr>
              <w:spacing w:after="40"/>
            </w:pPr>
            <w:r>
              <w:rPr>
                <w:sz w:val="19"/>
                <w:szCs w:val="19"/>
              </w:rPr>
              <w:t xml:space="preserve">Distinction utile entre prestation et impact opérationnel non chiffré.</w:t>
            </w:r>
          </w:p>
        </w:tc>
      </w:tr>
      <w:tr>
        <w:tc>
          <w:tcPr>
            <w:tcW w:type="dxa" w:w="4337"/>
            <w:shd w:fill="E8EEF5" w:color="auto" w:val="clear"/>
            <w:tcMar>
              <w:top w:type="dxa" w:w="60"/>
              <w:left w:type="dxa" w:w="100"/>
              <w:bottom w:type="dxa" w:w="60"/>
              <w:right w:type="dxa" w:w="100"/>
            </w:tcMar>
          </w:tcPr>
          <w:p>
            <w:pPr>
              <w:spacing w:after="40"/>
            </w:pPr>
            <w:r>
              <w:rPr>
                <w:sz w:val="19"/>
                <w:szCs w:val="19"/>
              </w:rPr>
              <w:t xml:space="preserve">6. « Le Comex doit-il autoriser l’intervention estimée à 4 500 € et 4 h d’arrêt ? »</w:t>
            </w:r>
          </w:p>
        </w:tc>
        <w:tc>
          <w:tcPr>
            <w:tcW w:type="dxa" w:w="5301"/>
            <w:shd w:fill="E8EEF5" w:color="auto" w:val="clear"/>
            <w:tcMar>
              <w:top w:type="dxa" w:w="60"/>
              <w:left w:type="dxa" w:w="100"/>
              <w:bottom w:type="dxa" w:w="60"/>
              <w:right w:type="dxa" w:w="100"/>
            </w:tcMar>
          </w:tcPr>
          <w:p>
            <w:pPr>
              <w:spacing w:after="40"/>
            </w:pPr>
            <w:r>
              <w:rPr>
                <w:sz w:val="19"/>
                <w:szCs w:val="19"/>
              </w:rPr>
              <w:t xml:space="preserve">Demande claire. Ajouter une recommandation argumentée dans le message complet.</w:t>
            </w:r>
          </w:p>
        </w:tc>
      </w:tr>
    </w:tbl>
    <w:p>
      <w:pPr>
        <w:spacing w:after="120"/>
      </w:pPr>
    </w:p>
    <w:p>
      <w:pPr>
        <w:spacing w:after="120"/>
      </w:pPr>
      <w:r>
        <w:rPr>
          <w:b/>
          <w:bCs/>
        </w:rPr>
        <w:t xml:space="preserve">Déroulé :</w:t>
      </w:r>
      <w:r>
        <w:t xml:space="preserve"> 5 min de consigne et exemple • 10 min de classement individuel • 10 min de confrontation en binôme • 15 min de correction et réécriture • 5 min de bilan.</w:t>
      </w:r>
    </w:p>
    <w:p>
      <w:pPr>
        <w:spacing w:after="120"/>
      </w:pPr>
      <w:r>
        <w:rPr>
          <w:b/>
          <w:bCs/>
        </w:rPr>
        <w:t xml:space="preserve">Observer :</w:t>
      </w:r>
      <w:r>
        <w:t xml:space="preserve"> l’étudiant explique pourquoi il modifie une phrase ; il ne remplace pas un mot technique par un mot plus vague ; il rend visibles les limites sans neutraliser sa recommandation.</w:t>
      </w:r>
    </w:p>
    <w:p>
      <w:pPr>
        <w:spacing w:after="120"/>
      </w:pPr>
      <w:r>
        <w:rPr>
          <w:b/>
          <w:bCs/>
        </w:rPr>
        <w:t xml:space="preserve">Débrief :</w:t>
      </w:r>
      <w:r>
        <w:t xml:space="preserve"> « Quelle correction change la décision du dirigeant ? » • « Comment rester convaincant sans promettre ce que l’on ne sait pas ? » • « Où séparez-vous observation et interprétation ? »</w:t>
      </w:r>
    </w:p>
    <w:p>
      <w:pPr>
        <w:pStyle w:val="Heading1"/>
      </w:pPr>
      <w:r>
        <w:t xml:space="preserve">A3 — Demander une décision (10:15–11:00)</w:t>
      </w:r>
    </w:p>
    <w:p>
      <w:pPr>
        <w:spacing w:after="120"/>
      </w:pPr>
      <w:r>
        <w:t xml:space="preserve">C1 • Passer de l’information à l’arbitrage.</w:t>
      </w:r>
    </w:p>
    <w:p>
      <w:pPr>
        <w:pBdr>
          <w:left w:val="single" w:color="1F3A5F" w:sz="12" w:space="8"/>
        </w:pBdr>
        <w:spacing w:after="120"/>
        <w:ind w:left="400"/>
      </w:pPr>
      <w:r>
        <w:rPr>
          <w:i/>
          <w:iCs/>
        </w:rPr>
        <w:t xml:space="preserve">Consigne : « Pour chaque ouverture, écrivez une demande en 40 mots maximum : qui doit décider, sur quoi, avec quels moyens ou contraintes ? Utilisez seulement les faits du cas ERP. Testez votre phrase auprès d’un partenaire qui joue le décideur.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5783"/>
      </w:tblGrid>
      <w:tr>
        <w:trPr>
          <w:tblHeader/>
        </w:trPr>
        <w:tc>
          <w:tcPr>
            <w:tcW w:type="dxa" w:w="3855"/>
            <w:shd w:fill="1F3A5F" w:color="auto" w:val="clear"/>
            <w:tcMar>
              <w:top w:type="dxa" w:w="60"/>
              <w:left w:type="dxa" w:w="100"/>
              <w:bottom w:type="dxa" w:w="60"/>
              <w:right w:type="dxa" w:w="100"/>
            </w:tcMar>
          </w:tcPr>
          <w:p>
            <w:pPr>
              <w:spacing w:after="40"/>
            </w:pPr>
            <w:r>
              <w:rPr>
                <w:b/>
                <w:bCs/>
                <w:color w:val="FFFFFF"/>
                <w:sz w:val="19"/>
                <w:szCs w:val="19"/>
              </w:rPr>
              <w:t xml:space="preserve">Ouverture insuffisante</w:t>
            </w:r>
          </w:p>
        </w:tc>
        <w:tc>
          <w:tcPr>
            <w:tcW w:type="dxa" w:w="5783"/>
            <w:shd w:fill="1F3A5F" w:color="auto" w:val="clear"/>
            <w:tcMar>
              <w:top w:type="dxa" w:w="60"/>
              <w:left w:type="dxa" w:w="100"/>
              <w:bottom w:type="dxa" w:w="60"/>
              <w:right w:type="dxa" w:w="100"/>
            </w:tcMar>
          </w:tcPr>
          <w:p>
            <w:pPr>
              <w:spacing w:after="40"/>
            </w:pPr>
            <w:r>
              <w:rPr>
                <w:b/>
                <w:bCs/>
                <w:color w:val="FFFFFF"/>
                <w:sz w:val="19"/>
                <w:szCs w:val="19"/>
              </w:rPr>
              <w:t xml:space="preserve">Réponse possible</w:t>
            </w:r>
          </w:p>
        </w:tc>
      </w:tr>
      <w:tr>
        <w:tc>
          <w:tcPr>
            <w:tcW w:type="dxa" w:w="3855"/>
            <w:tcMar>
              <w:top w:type="dxa" w:w="60"/>
              <w:left w:type="dxa" w:w="100"/>
              <w:bottom w:type="dxa" w:w="60"/>
              <w:right w:type="dxa" w:w="100"/>
            </w:tcMar>
          </w:tcPr>
          <w:p>
            <w:pPr>
              <w:spacing w:after="40"/>
            </w:pPr>
            <w:r>
              <w:rPr>
                <w:sz w:val="19"/>
                <w:szCs w:val="19"/>
              </w:rPr>
              <w:t xml:space="preserve">« Nous avons une CVSS 9.8 sur un serveur. »</w:t>
            </w:r>
          </w:p>
        </w:tc>
        <w:tc>
          <w:tcPr>
            <w:tcW w:type="dxa" w:w="5783"/>
            <w:tcMar>
              <w:top w:type="dxa" w:w="60"/>
              <w:left w:type="dxa" w:w="100"/>
              <w:bottom w:type="dxa" w:w="60"/>
              <w:right w:type="dxa" w:w="100"/>
            </w:tcMar>
          </w:tcPr>
          <w:p>
            <w:pPr>
              <w:spacing w:after="40"/>
            </w:pPr>
            <w:r>
              <w:rPr>
                <w:sz w:val="19"/>
                <w:szCs w:val="19"/>
              </w:rPr>
              <w:t xml:space="preserve">« Je sollicite l’accord du Comex sur une intervention estimée à 4 500 € et quatre heures d’arrêt programmé pour corriger la faille de l’outil de commande. »</w:t>
            </w:r>
          </w:p>
        </w:tc>
      </w:tr>
      <w:tr>
        <w:tc>
          <w:tcPr>
            <w:tcW w:type="dxa" w:w="3855"/>
            <w:shd w:fill="E8EEF5" w:color="auto" w:val="clear"/>
            <w:tcMar>
              <w:top w:type="dxa" w:w="60"/>
              <w:left w:type="dxa" w:w="100"/>
              <w:bottom w:type="dxa" w:w="60"/>
              <w:right w:type="dxa" w:w="100"/>
            </w:tcMar>
          </w:tcPr>
          <w:p>
            <w:pPr>
              <w:spacing w:after="40"/>
            </w:pPr>
            <w:r>
              <w:rPr>
                <w:sz w:val="19"/>
                <w:szCs w:val="19"/>
              </w:rPr>
              <w:t xml:space="preserve">« Il faut sécuriser tout cela rapidement. »</w:t>
            </w:r>
          </w:p>
        </w:tc>
        <w:tc>
          <w:tcPr>
            <w:tcW w:type="dxa" w:w="5783"/>
            <w:shd w:fill="E8EEF5" w:color="auto" w:val="clear"/>
            <w:tcMar>
              <w:top w:type="dxa" w:w="60"/>
              <w:left w:type="dxa" w:w="100"/>
              <w:bottom w:type="dxa" w:w="60"/>
              <w:right w:type="dxa" w:w="100"/>
            </w:tcMar>
          </w:tcPr>
          <w:p>
            <w:pPr>
              <w:spacing w:after="40"/>
            </w:pPr>
            <w:r>
              <w:rPr>
                <w:sz w:val="19"/>
                <w:szCs w:val="19"/>
              </w:rPr>
              <w:t xml:space="preserve">« Je recommande de faire appliquer le correctif et demande l’autorisation de préparer l’arrêt de quatre heures avec les opérations, pour une prestation estimée à 4 500 €. »</w:t>
            </w:r>
          </w:p>
        </w:tc>
      </w:tr>
      <w:tr>
        <w:tc>
          <w:tcPr>
            <w:tcW w:type="dxa" w:w="3855"/>
            <w:tcMar>
              <w:top w:type="dxa" w:w="60"/>
              <w:left w:type="dxa" w:w="100"/>
              <w:bottom w:type="dxa" w:w="60"/>
              <w:right w:type="dxa" w:w="100"/>
            </w:tcMar>
          </w:tcPr>
          <w:p>
            <w:pPr>
              <w:spacing w:after="40"/>
            </w:pPr>
            <w:r>
              <w:rPr>
                <w:sz w:val="19"/>
                <w:szCs w:val="19"/>
              </w:rPr>
              <w:t xml:space="preserve">« Je voudrais vous présenter notre situation. »</w:t>
            </w:r>
          </w:p>
        </w:tc>
        <w:tc>
          <w:tcPr>
            <w:tcW w:type="dxa" w:w="5783"/>
            <w:tcMar>
              <w:top w:type="dxa" w:w="60"/>
              <w:left w:type="dxa" w:w="100"/>
              <w:bottom w:type="dxa" w:w="60"/>
              <w:right w:type="dxa" w:w="100"/>
            </w:tcMar>
          </w:tcPr>
          <w:p>
            <w:pPr>
              <w:spacing w:after="40"/>
            </w:pPr>
            <w:r>
              <w:rPr>
                <w:sz w:val="19"/>
                <w:szCs w:val="19"/>
              </w:rPr>
              <w:t xml:space="preserve">« La décision attendue porte sur le budget estimé de 4 500 € et l’acceptation d’un arrêt programmé de quatre heures ; je recommande cette intervention. »</w:t>
            </w:r>
          </w:p>
        </w:tc>
      </w:tr>
    </w:tbl>
    <w:p>
      <w:pPr>
        <w:spacing w:after="120"/>
      </w:pPr>
    </w:p>
    <w:p>
      <w:pPr>
        <w:spacing w:after="120"/>
      </w:pPr>
      <w:r>
        <w:rPr>
          <w:b/>
          <w:bCs/>
        </w:rPr>
        <w:t xml:space="preserve">Déroulé :</w:t>
      </w:r>
      <w:r>
        <w:t xml:space="preserve"> 5 min de démonstration • 10 min de rédaction individuelle • 15 min d’échange en binômes (le décideur reformule puis demande une précision) • 10 min de réécriture et second test • 5 min de synthèse.</w:t>
      </w:r>
    </w:p>
    <w:p>
      <w:pPr>
        <w:spacing w:after="120"/>
      </w:pPr>
      <w:r>
        <w:rPr>
          <w:b/>
          <w:bCs/>
        </w:rPr>
        <w:t xml:space="preserve">Questions du partenaire :</w:t>
      </w:r>
      <w:r>
        <w:t xml:space="preserve"> « Que dois-je autoriser exactement ? » • « Les 4 500 € incluent-ils le coût de l’arrêt ? » • « Quand interviendrez-vous ? ». Réponses attendues : expliciter la demande ; distinguer coût de prestation et impact non chiffré ; indiquer que le créneau reste à confirmer, sans inventer de date.</w:t>
      </w:r>
    </w:p>
    <w:p>
      <w:pPr>
        <w:spacing w:after="120"/>
      </w:pPr>
      <w:r>
        <w:rPr>
          <w:b/>
          <w:bCs/>
        </w:rPr>
        <w:t xml:space="preserve">Critère de sortie :</w:t>
      </w:r>
      <w:r>
        <w:t xml:space="preserve"> le décideur peut dire « Vous me demandez d’autoriser… » sans compléter lui-même la demande.</w:t>
      </w:r>
    </w:p>
    <w:p>
      <w:pPr>
        <w:spacing w:after="120"/>
      </w:pPr>
      <w:r>
        <w:rPr>
          <w:b/>
          <w:bCs/>
        </w:rPr>
        <w:t xml:space="preserve">Débrief :</w:t>
      </w:r>
      <w:r>
        <w:t xml:space="preserve"> « Que manque-t-il encore pour exécuter cette décision ? » Une demande claire ne remplace pas les vérifications techniques ; le périmètre de l’exercice reste la communication de l’arbitrage.</w:t>
      </w:r>
    </w:p>
    <w:p>
      <w:pPr>
        <w:pStyle w:val="Heading1"/>
      </w:pPr>
      <w:r>
        <w:t xml:space="preserve">A4 — Réviser la Note Flash (11:15–12:15)</w:t>
      </w:r>
    </w:p>
    <w:p>
      <w:pPr>
        <w:spacing w:after="120"/>
      </w:pPr>
      <w:r>
        <w:t xml:space="preserve">C1 + C2 • Du raisonnement SCQA au document décisionnel.</w:t>
      </w:r>
    </w:p>
    <w:p>
      <w:pPr>
        <w:spacing w:after="120"/>
      </w:pPr>
      <w:r>
        <w:t xml:space="preserve">Consigne : reprendre la V1 du 25 septembre ; produire une V2 d’une page maximum : demande en tête, contexte et risque, recommandation, limites et prochaine étape. Conserver séparément le plan SCQA. Identifier deux changements et expliquer leur utilité pour le lecteur.</w:t>
      </w:r>
    </w:p>
    <w:p>
      <w:pPr>
        <w:pStyle w:val="Heading2"/>
      </w:pPr>
      <w:r>
        <w:t xml:space="preserve">Exemple de V2 — à révéler après le premier essai</w:t>
      </w:r>
    </w:p>
    <w:p>
      <w:pPr>
        <w:pBdr>
          <w:left w:val="single" w:color="1F3A5F" w:sz="12" w:space="8"/>
        </w:pBdr>
        <w:spacing w:after="120"/>
        <w:ind w:left="400"/>
      </w:pPr>
      <w:r>
        <w:rPr>
          <w:i/>
          <w:iCs/>
        </w:rPr>
        <w:t xml:space="preserve">Objet : autoriser la correction de la faille de l’outil de commande. — Je sollicite l’accord de principe du Comex sur une intervention estimée à 4 500 € et un arrêt programmé de quatre heures pour appliquer le correctif disponible. L’ERP soutient la gestion des commandes. Une faille critique y a été identifiée. Son exploitation pourrait permettre une prise de contrôle, rendre les données inutilisables ou exposer des données clients. Le dossier ne permet pas d’affirmer qu’une exploitation a déjà eu lieu. Je recommande l’intervention du prestataire en heures non ouvrées. Le créneau et les vérifications nécessaires devront être confirmés avec les équipes concernées. Reporter l’intervention maintient l’exposition à la faille ; l’impact financier de l’arrêt n’est pas chiffré dans le cas. Après accord, je propose de faire confirmer les conditions d’intervention et de communiquer un point de situation à son issue. Le correctif ne constitue pas une garantie de suppression de tous les risques.</w:t>
      </w:r>
    </w:p>
    <w:p>
      <w:pPr>
        <w:spacing w:after="120"/>
      </w:pPr>
      <w:r>
        <w:rPr>
          <w:b/>
          <w:bCs/>
        </w:rPr>
        <w:t xml:space="preserve">Déroulé :</w:t>
      </w:r>
      <w:r>
        <w:t xml:space="preserve"> 8 min pour démontrer la différence plan / restitution • 20 min de réécriture individuelle • 12 min de lecture croisée (6 min par auteur) • 15 min de V2 et justification • 5 min de collecte.</w:t>
      </w:r>
    </w:p>
    <w:p>
      <w:pPr>
        <w:spacing w:after="120"/>
      </w:pPr>
      <w:r>
        <w:rPr>
          <w:b/>
          <w:bCs/>
        </w:rPr>
        <w:t xml:space="preserve">Test lecteur.</w:t>
      </w:r>
      <w:r>
        <w:t xml:space="preserve"> Sans questionner l’auteur, le lecteur écrit : la décision demandée, deux faits utilisés, le risque, une information manquante. Une mauvaise reformulation sert à choisir la révision prioritaire. Le modèle n’est pas l’unique réponse recevable.</w:t>
      </w:r>
    </w:p>
    <w:p>
      <w:pPr>
        <w:spacing w:after="120"/>
      </w:pPr>
      <w:r>
        <w:rPr>
          <w:b/>
          <w:bCs/>
        </w:rPr>
        <w:t xml:space="preserve">Vigilance.</w:t>
      </w:r>
      <w:r>
        <w:t xml:space="preserve"> Ne pas pénaliser une V1 qui place la recommandation à la fin : elle suivait la trame distribuée. Si une V1 manque, rédiger à partir du cas ; ne pas fabriquer une production historique.</w:t>
      </w:r>
    </w:p>
    <w:p>
      <w:pPr>
        <w:pStyle w:val="Heading1"/>
      </w:pPr>
      <w:r>
        <w:t xml:space="preserve">A5 — Laboratoire oral (12:15–13:00)</w:t>
      </w:r>
    </w:p>
    <w:p>
      <w:pPr>
        <w:spacing w:after="120"/>
      </w:pPr>
      <w:r>
        <w:t xml:space="preserve">C1 + C4 • Confiance construite par des essais observables.</w:t>
      </w:r>
    </w:p>
    <w:p>
      <w:pPr>
        <w:pBdr>
          <w:left w:val="single" w:color="1F3A5F" w:sz="12" w:space="8"/>
        </w:pBdr>
        <w:spacing w:after="120"/>
        <w:ind w:left="400"/>
      </w:pPr>
      <w:r>
        <w:rPr>
          <w:i/>
          <w:iCs/>
        </w:rPr>
        <w:t xml:space="preserve">Consigne : « Vous disposez de 60 secondes. Demandez l’accord, donnez deux raisons, nommez une limite. Votre observateur relève la phrase d’ouverture et un seul point à améliorer. Vous refaites ensuite le passage.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42"/>
        <w:gridCol w:w="8096"/>
      </w:tblGrid>
      <w:tr>
        <w:trPr>
          <w:tblHeader/>
        </w:trPr>
        <w:tc>
          <w:tcPr>
            <w:tcW w:type="dxa" w:w="1542"/>
            <w:shd w:fill="1F3A5F" w:color="auto" w:val="clear"/>
            <w:tcMar>
              <w:top w:type="dxa" w:w="60"/>
              <w:left w:type="dxa" w:w="100"/>
              <w:bottom w:type="dxa" w:w="60"/>
              <w:right w:type="dxa" w:w="100"/>
            </w:tcMar>
          </w:tcPr>
          <w:p>
            <w:pPr>
              <w:spacing w:after="40"/>
            </w:pPr>
            <w:r>
              <w:rPr>
                <w:b/>
                <w:bCs/>
                <w:color w:val="FFFFFF"/>
                <w:sz w:val="19"/>
                <w:szCs w:val="19"/>
              </w:rPr>
              <w:t xml:space="preserve">Minutes</w:t>
            </w:r>
          </w:p>
        </w:tc>
        <w:tc>
          <w:tcPr>
            <w:tcW w:type="dxa" w:w="8096"/>
            <w:shd w:fill="1F3A5F" w:color="auto" w:val="clear"/>
            <w:tcMar>
              <w:top w:type="dxa" w:w="60"/>
              <w:left w:type="dxa" w:w="100"/>
              <w:bottom w:type="dxa" w:w="60"/>
              <w:right w:type="dxa" w:w="100"/>
            </w:tcMar>
          </w:tcPr>
          <w:p>
            <w:pPr>
              <w:spacing w:after="40"/>
            </w:pPr>
            <w:r>
              <w:rPr>
                <w:b/>
                <w:bCs/>
                <w:color w:val="FFFFFF"/>
                <w:sz w:val="19"/>
                <w:szCs w:val="19"/>
              </w:rPr>
              <w:t xml:space="preserve">Déroulement</w:t>
            </w:r>
          </w:p>
        </w:tc>
      </w:tr>
      <w:tr>
        <w:tc>
          <w:tcPr>
            <w:tcW w:type="dxa" w:w="1542"/>
            <w:tcMar>
              <w:top w:type="dxa" w:w="60"/>
              <w:left w:type="dxa" w:w="100"/>
              <w:bottom w:type="dxa" w:w="60"/>
              <w:right w:type="dxa" w:w="100"/>
            </w:tcMar>
          </w:tcPr>
          <w:p>
            <w:pPr>
              <w:spacing w:after="40"/>
            </w:pPr>
            <w:r>
              <w:rPr>
                <w:sz w:val="19"/>
                <w:szCs w:val="19"/>
              </w:rPr>
              <w:t xml:space="preserve">0–5</w:t>
            </w:r>
          </w:p>
        </w:tc>
        <w:tc>
          <w:tcPr>
            <w:tcW w:type="dxa" w:w="8096"/>
            <w:tcMar>
              <w:top w:type="dxa" w:w="60"/>
              <w:left w:type="dxa" w:w="100"/>
              <w:bottom w:type="dxa" w:w="60"/>
              <w:right w:type="dxa" w:w="100"/>
            </w:tcMar>
          </w:tcPr>
          <w:p>
            <w:pPr>
              <w:spacing w:after="40"/>
            </w:pPr>
            <w:r>
              <w:rPr>
                <w:sz w:val="19"/>
                <w:szCs w:val="19"/>
              </w:rPr>
              <w:t xml:space="preserve">Démonstration : deux versions du même message, puis comparaison de leur clarté.</w:t>
            </w:r>
          </w:p>
        </w:tc>
      </w:tr>
      <w:tr>
        <w:tc>
          <w:tcPr>
            <w:tcW w:type="dxa" w:w="1542"/>
            <w:shd w:fill="E8EEF5" w:color="auto" w:val="clear"/>
            <w:tcMar>
              <w:top w:type="dxa" w:w="60"/>
              <w:left w:type="dxa" w:w="100"/>
              <w:bottom w:type="dxa" w:w="60"/>
              <w:right w:type="dxa" w:w="100"/>
            </w:tcMar>
          </w:tcPr>
          <w:p>
            <w:pPr>
              <w:spacing w:after="40"/>
            </w:pPr>
            <w:r>
              <w:rPr>
                <w:sz w:val="19"/>
                <w:szCs w:val="19"/>
              </w:rPr>
              <w:t xml:space="preserve">5–10</w:t>
            </w:r>
          </w:p>
        </w:tc>
        <w:tc>
          <w:tcPr>
            <w:tcW w:type="dxa" w:w="8096"/>
            <w:shd w:fill="E8EEF5" w:color="auto" w:val="clear"/>
            <w:tcMar>
              <w:top w:type="dxa" w:w="60"/>
              <w:left w:type="dxa" w:w="100"/>
              <w:bottom w:type="dxa" w:w="60"/>
              <w:right w:type="dxa" w:w="100"/>
            </w:tcMar>
          </w:tcPr>
          <w:p>
            <w:pPr>
              <w:spacing w:after="40"/>
            </w:pPr>
            <w:r>
              <w:rPr>
                <w:sz w:val="19"/>
                <w:szCs w:val="19"/>
              </w:rPr>
              <w:t xml:space="preserve">Routine : préparer la première phrase, poser ses appuis, ménager une pause avant de démarrer.</w:t>
            </w:r>
          </w:p>
        </w:tc>
      </w:tr>
      <w:tr>
        <w:tc>
          <w:tcPr>
            <w:tcW w:type="dxa" w:w="1542"/>
            <w:tcMar>
              <w:top w:type="dxa" w:w="60"/>
              <w:left w:type="dxa" w:w="100"/>
              <w:bottom w:type="dxa" w:w="60"/>
              <w:right w:type="dxa" w:w="100"/>
            </w:tcMar>
          </w:tcPr>
          <w:p>
            <w:pPr>
              <w:spacing w:after="40"/>
            </w:pPr>
            <w:r>
              <w:rPr>
                <w:sz w:val="19"/>
                <w:szCs w:val="19"/>
              </w:rPr>
              <w:t xml:space="preserve">10–15</w:t>
            </w:r>
          </w:p>
        </w:tc>
        <w:tc>
          <w:tcPr>
            <w:tcW w:type="dxa" w:w="8096"/>
            <w:tcMar>
              <w:top w:type="dxa" w:w="60"/>
              <w:left w:type="dxa" w:w="100"/>
              <w:bottom w:type="dxa" w:w="60"/>
              <w:right w:type="dxa" w:w="100"/>
            </w:tcMar>
          </w:tcPr>
          <w:p>
            <w:pPr>
              <w:spacing w:after="40"/>
            </w:pPr>
            <w:r>
              <w:rPr>
                <w:sz w:val="19"/>
                <w:szCs w:val="19"/>
              </w:rPr>
              <w:t xml:space="preserve">Préparation individuelle : carte de cinq mots-clés ; texte complet autorisé au premier essai si nécessaire.</w:t>
            </w:r>
          </w:p>
        </w:tc>
      </w:tr>
      <w:tr>
        <w:tc>
          <w:tcPr>
            <w:tcW w:type="dxa" w:w="1542"/>
            <w:shd w:fill="E8EEF5" w:color="auto" w:val="clear"/>
            <w:tcMar>
              <w:top w:type="dxa" w:w="60"/>
              <w:left w:type="dxa" w:w="100"/>
              <w:bottom w:type="dxa" w:w="60"/>
              <w:right w:type="dxa" w:w="100"/>
            </w:tcMar>
          </w:tcPr>
          <w:p>
            <w:pPr>
              <w:spacing w:after="40"/>
            </w:pPr>
            <w:r>
              <w:rPr>
                <w:sz w:val="19"/>
                <w:szCs w:val="19"/>
              </w:rPr>
              <w:t xml:space="preserve">15–25</w:t>
            </w:r>
          </w:p>
        </w:tc>
        <w:tc>
          <w:tcPr>
            <w:tcW w:type="dxa" w:w="8096"/>
            <w:shd w:fill="E8EEF5" w:color="auto" w:val="clear"/>
            <w:tcMar>
              <w:top w:type="dxa" w:w="60"/>
              <w:left w:type="dxa" w:w="100"/>
              <w:bottom w:type="dxa" w:w="60"/>
              <w:right w:type="dxa" w:w="100"/>
            </w:tcMar>
          </w:tcPr>
          <w:p>
            <w:pPr>
              <w:spacing w:after="40"/>
            </w:pPr>
            <w:r>
              <w:rPr>
                <w:sz w:val="19"/>
                <w:szCs w:val="19"/>
              </w:rPr>
              <w:t xml:space="preserve">Premier tour en groupes de 3 ou 4 : 2 min 30 chacun (60 s de parole, 60 s de retour, 30 s de rotation).</w:t>
            </w:r>
          </w:p>
        </w:tc>
      </w:tr>
      <w:tr>
        <w:tc>
          <w:tcPr>
            <w:tcW w:type="dxa" w:w="1542"/>
            <w:tcMar>
              <w:top w:type="dxa" w:w="60"/>
              <w:left w:type="dxa" w:w="100"/>
              <w:bottom w:type="dxa" w:w="60"/>
              <w:right w:type="dxa" w:w="100"/>
            </w:tcMar>
          </w:tcPr>
          <w:p>
            <w:pPr>
              <w:spacing w:after="40"/>
            </w:pPr>
            <w:r>
              <w:rPr>
                <w:sz w:val="19"/>
                <w:szCs w:val="19"/>
              </w:rPr>
              <w:t xml:space="preserve">25–30</w:t>
            </w:r>
          </w:p>
        </w:tc>
        <w:tc>
          <w:tcPr>
            <w:tcW w:type="dxa" w:w="8096"/>
            <w:tcMar>
              <w:top w:type="dxa" w:w="60"/>
              <w:left w:type="dxa" w:w="100"/>
              <w:bottom w:type="dxa" w:w="60"/>
              <w:right w:type="dxa" w:w="100"/>
            </w:tcMar>
          </w:tcPr>
          <w:p>
            <w:pPr>
              <w:spacing w:after="40"/>
            </w:pPr>
            <w:r>
              <w:rPr>
                <w:sz w:val="19"/>
                <w:szCs w:val="19"/>
              </w:rPr>
              <w:t xml:space="preserve">Révision individuelle : chaque étudiant choisit un seul changement.</w:t>
            </w:r>
          </w:p>
        </w:tc>
      </w:tr>
      <w:tr>
        <w:tc>
          <w:tcPr>
            <w:tcW w:type="dxa" w:w="1542"/>
            <w:shd w:fill="E8EEF5" w:color="auto" w:val="clear"/>
            <w:tcMar>
              <w:top w:type="dxa" w:w="60"/>
              <w:left w:type="dxa" w:w="100"/>
              <w:bottom w:type="dxa" w:w="60"/>
              <w:right w:type="dxa" w:w="100"/>
            </w:tcMar>
          </w:tcPr>
          <w:p>
            <w:pPr>
              <w:spacing w:after="40"/>
            </w:pPr>
            <w:r>
              <w:rPr>
                <w:sz w:val="19"/>
                <w:szCs w:val="19"/>
              </w:rPr>
              <w:t xml:space="preserve">30–40</w:t>
            </w:r>
          </w:p>
        </w:tc>
        <w:tc>
          <w:tcPr>
            <w:tcW w:type="dxa" w:w="8096"/>
            <w:shd w:fill="E8EEF5" w:color="auto" w:val="clear"/>
            <w:tcMar>
              <w:top w:type="dxa" w:w="60"/>
              <w:left w:type="dxa" w:w="100"/>
              <w:bottom w:type="dxa" w:w="60"/>
              <w:right w:type="dxa" w:w="100"/>
            </w:tcMar>
          </w:tcPr>
          <w:p>
            <w:pPr>
              <w:spacing w:after="40"/>
            </w:pPr>
            <w:r>
              <w:rPr>
                <w:sz w:val="19"/>
                <w:szCs w:val="19"/>
              </w:rPr>
              <w:t xml:space="preserve">Second tour, mêmes créneaux et même auditoire.</w:t>
            </w:r>
          </w:p>
        </w:tc>
      </w:tr>
      <w:tr>
        <w:tc>
          <w:tcPr>
            <w:tcW w:type="dxa" w:w="1542"/>
            <w:tcMar>
              <w:top w:type="dxa" w:w="60"/>
              <w:left w:type="dxa" w:w="100"/>
              <w:bottom w:type="dxa" w:w="60"/>
              <w:right w:type="dxa" w:w="100"/>
            </w:tcMar>
          </w:tcPr>
          <w:p>
            <w:pPr>
              <w:spacing w:after="40"/>
            </w:pPr>
            <w:r>
              <w:rPr>
                <w:sz w:val="19"/>
                <w:szCs w:val="19"/>
              </w:rPr>
              <w:t xml:space="preserve">40–45</w:t>
            </w:r>
          </w:p>
        </w:tc>
        <w:tc>
          <w:tcPr>
            <w:tcW w:type="dxa" w:w="8096"/>
            <w:tcMar>
              <w:top w:type="dxa" w:w="60"/>
              <w:left w:type="dxa" w:w="100"/>
              <w:bottom w:type="dxa" w:w="60"/>
              <w:right w:type="dxa" w:w="100"/>
            </w:tcMar>
          </w:tcPr>
          <w:p>
            <w:pPr>
              <w:spacing w:after="40"/>
            </w:pPr>
            <w:r>
              <w:rPr>
                <w:sz w:val="19"/>
                <w:szCs w:val="19"/>
              </w:rPr>
              <w:t xml:space="preserve">Bilan : chacun identifie une amélioration observable.</w:t>
            </w:r>
          </w:p>
        </w:tc>
      </w:tr>
    </w:tbl>
    <w:p>
      <w:pPr>
        <w:spacing w:after="120"/>
      </w:pPr>
    </w:p>
    <w:p>
      <w:pPr>
        <w:spacing w:after="120"/>
      </w:pPr>
      <w:r>
        <w:rPr>
          <w:b/>
          <w:bCs/>
        </w:rPr>
        <w:t xml:space="preserve">Feedback utilisable.</w:t>
      </w:r>
      <w:r>
        <w:t xml:space="preserve"> Constat : « Vous avez annoncé les quatre heures avant de dire ce que vous demandiez. » Effet : « J’ai compris la contrainte mais pas encore mon rôle. » Essai suivant : « Commencez par “Je sollicite votre accord sur…” ». Éviter « Soyez plus confiant » sans comportement précis.</w:t>
      </w:r>
    </w:p>
    <w:p>
      <w:pPr>
        <w:spacing w:after="120"/>
      </w:pPr>
      <w:r>
        <w:rPr>
          <w:b/>
          <w:bCs/>
        </w:rPr>
        <w:t xml:space="preserve">Critères d’observation :</w:t>
      </w:r>
      <w:r>
        <w:t xml:space="preserve"> demande compréhensible dans les 30 premières secondes ; volume audible ; temps respecté ; une pause entre deux idées ; données exactes. Ne pas noter une personnalité, un accent ou une posture unique ; le regard soutenu n’est pas exigé.</w:t>
      </w:r>
    </w:p>
    <w:p>
      <w:pPr>
        <w:spacing w:after="120"/>
      </w:pPr>
      <w:r>
        <w:rPr>
          <w:b/>
          <w:bCs/>
        </w:rPr>
        <w:t xml:space="preserve">Adaptation.</w:t>
      </w:r>
      <w:r>
        <w:t xml:space="preserve"> Sept étudiants : un trinôme et un groupe de quatre, sans passage public imposé. Pour une personne très hésitante : garder la phrase d’ouverture écrite, puis réduire progressivement les notes. Débrief : « Qu’avez-vous changé ? Qu’a mieux compris votre interlocuteur ? »</w:t>
      </w:r>
    </w:p>
    <w:p>
      <w:pPr>
        <w:pStyle w:val="Heading1"/>
      </w:pPr>
      <w:r>
        <w:t xml:space="preserve">A6 — Même dossier, trois interlocuteurs (14:00–15:00)</w:t>
      </w:r>
    </w:p>
    <w:p>
      <w:pPr>
        <w:spacing w:after="120"/>
      </w:pPr>
      <w:r>
        <w:t xml:space="preserve">C3 + C4 • Hiérarchiser sans changer les faits.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5"/>
        <w:gridCol w:w="7133"/>
      </w:tblGrid>
      <w:tr>
        <w:trPr>
          <w:tblHeader/>
        </w:trPr>
        <w:tc>
          <w:tcPr>
            <w:tcW w:type="dxa" w:w="2505"/>
            <w:shd w:fill="1F3A5F" w:color="auto" w:val="clear"/>
            <w:tcMar>
              <w:top w:type="dxa" w:w="60"/>
              <w:left w:type="dxa" w:w="100"/>
              <w:bottom w:type="dxa" w:w="60"/>
              <w:right w:type="dxa" w:w="100"/>
            </w:tcMar>
          </w:tcPr>
          <w:p>
            <w:pPr>
              <w:spacing w:after="40"/>
            </w:pPr>
            <w:r>
              <w:rPr>
                <w:b/>
                <w:bCs/>
                <w:color w:val="FFFFFF"/>
                <w:sz w:val="19"/>
                <w:szCs w:val="19"/>
              </w:rPr>
              <w:t xml:space="preserve">Rôle (priorités fictives de l’exercice)</w:t>
            </w:r>
          </w:p>
        </w:tc>
        <w:tc>
          <w:tcPr>
            <w:tcW w:type="dxa" w:w="7133"/>
            <w:shd w:fill="1F3A5F" w:color="auto" w:val="clear"/>
            <w:tcMar>
              <w:top w:type="dxa" w:w="60"/>
              <w:left w:type="dxa" w:w="100"/>
              <w:bottom w:type="dxa" w:w="60"/>
              <w:right w:type="dxa" w:w="100"/>
            </w:tcMar>
          </w:tcPr>
          <w:p>
            <w:pPr>
              <w:spacing w:after="40"/>
            </w:pPr>
            <w:r>
              <w:rPr>
                <w:b/>
                <w:bCs/>
                <w:color w:val="FFFFFF"/>
                <w:sz w:val="19"/>
                <w:szCs w:val="19"/>
              </w:rPr>
              <w:t xml:space="preserve">Préoccupation et question</w:t>
            </w:r>
          </w:p>
        </w:tc>
      </w:tr>
      <w:tr>
        <w:tc>
          <w:tcPr>
            <w:tcW w:type="dxa" w:w="2505"/>
            <w:tcMar>
              <w:top w:type="dxa" w:w="60"/>
              <w:left w:type="dxa" w:w="100"/>
              <w:bottom w:type="dxa" w:w="60"/>
              <w:right w:type="dxa" w:w="100"/>
            </w:tcMar>
          </w:tcPr>
          <w:p>
            <w:pPr>
              <w:spacing w:after="40"/>
            </w:pPr>
            <w:r>
              <w:rPr>
                <w:sz w:val="19"/>
                <w:szCs w:val="19"/>
              </w:rPr>
              <w:t xml:space="preserve">CEO / direction générale</w:t>
            </w:r>
          </w:p>
        </w:tc>
        <w:tc>
          <w:tcPr>
            <w:tcW w:type="dxa" w:w="7133"/>
            <w:tcMar>
              <w:top w:type="dxa" w:w="60"/>
              <w:left w:type="dxa" w:w="100"/>
              <w:bottom w:type="dxa" w:w="60"/>
              <w:right w:type="dxa" w:w="100"/>
            </w:tcMar>
          </w:tcPr>
          <w:p>
            <w:pPr>
              <w:spacing w:after="40"/>
            </w:pPr>
            <w:r>
              <w:rPr>
                <w:sz w:val="19"/>
                <w:szCs w:val="19"/>
              </w:rPr>
              <w:t xml:space="preserve">Préserver l’activité et décider. « Quelle décision attendez-vous de moi et pourquoi est-elle prioritaire ? »</w:t>
            </w:r>
          </w:p>
        </w:tc>
      </w:tr>
      <w:tr>
        <w:tc>
          <w:tcPr>
            <w:tcW w:type="dxa" w:w="2505"/>
            <w:shd w:fill="E8EEF5" w:color="auto" w:val="clear"/>
            <w:tcMar>
              <w:top w:type="dxa" w:w="60"/>
              <w:left w:type="dxa" w:w="100"/>
              <w:bottom w:type="dxa" w:w="60"/>
              <w:right w:type="dxa" w:w="100"/>
            </w:tcMar>
          </w:tcPr>
          <w:p>
            <w:pPr>
              <w:spacing w:after="40"/>
            </w:pPr>
            <w:r>
              <w:rPr>
                <w:sz w:val="19"/>
                <w:szCs w:val="19"/>
              </w:rPr>
              <w:t xml:space="preserve">CFO / direction financière</w:t>
            </w:r>
          </w:p>
        </w:tc>
        <w:tc>
          <w:tcPr>
            <w:tcW w:type="dxa" w:w="7133"/>
            <w:shd w:fill="E8EEF5" w:color="auto" w:val="clear"/>
            <w:tcMar>
              <w:top w:type="dxa" w:w="60"/>
              <w:left w:type="dxa" w:w="100"/>
              <w:bottom w:type="dxa" w:w="60"/>
              <w:right w:type="dxa" w:w="100"/>
            </w:tcMar>
          </w:tcPr>
          <w:p>
            <w:pPr>
              <w:spacing w:after="40"/>
            </w:pPr>
            <w:r>
              <w:rPr>
                <w:sz w:val="19"/>
                <w:szCs w:val="19"/>
              </w:rPr>
              <w:t xml:space="preserve">Comprendre l’engagement et ses limites. « Que couvrent les 4 500 € ? Quel coût n’est pas connu ? »</w:t>
            </w:r>
          </w:p>
        </w:tc>
      </w:tr>
      <w:tr>
        <w:tc>
          <w:tcPr>
            <w:tcW w:type="dxa" w:w="2505"/>
            <w:tcMar>
              <w:top w:type="dxa" w:w="60"/>
              <w:left w:type="dxa" w:w="100"/>
              <w:bottom w:type="dxa" w:w="60"/>
              <w:right w:type="dxa" w:w="100"/>
            </w:tcMar>
          </w:tcPr>
          <w:p>
            <w:pPr>
              <w:spacing w:after="40"/>
            </w:pPr>
            <w:r>
              <w:rPr>
                <w:sz w:val="19"/>
                <w:szCs w:val="19"/>
              </w:rPr>
              <w:t xml:space="preserve">COO / opérations</w:t>
            </w:r>
          </w:p>
        </w:tc>
        <w:tc>
          <w:tcPr>
            <w:tcW w:type="dxa" w:w="7133"/>
            <w:tcMar>
              <w:top w:type="dxa" w:w="60"/>
              <w:left w:type="dxa" w:w="100"/>
              <w:bottom w:type="dxa" w:w="60"/>
              <w:right w:type="dxa" w:w="100"/>
            </w:tcMar>
          </w:tcPr>
          <w:p>
            <w:pPr>
              <w:spacing w:after="40"/>
            </w:pPr>
            <w:r>
              <w:rPr>
                <w:sz w:val="19"/>
                <w:szCs w:val="19"/>
              </w:rPr>
              <w:t xml:space="preserve">Préparer l’arrêt et la reprise. « Quelles contraintes devons-nous confirmer avant d’autoriser le créneau ? »</w:t>
            </w:r>
          </w:p>
        </w:tc>
      </w:tr>
    </w:tbl>
    <w:p>
      <w:pPr>
        <w:spacing w:after="120"/>
      </w:pPr>
    </w:p>
    <w:p>
      <w:pPr>
        <w:spacing w:after="120"/>
      </w:pPr>
      <w:r>
        <w:t xml:space="preserve">Ces cartes ne décrivent pas tous les dirigeants : elles donnent des priorités explicites à des personnages.</w:t>
      </w:r>
    </w:p>
    <w:p>
      <w:pPr>
        <w:spacing w:after="120"/>
      </w:pPr>
      <w:r>
        <w:rPr>
          <w:b/>
          <w:bCs/>
        </w:rPr>
        <w:t xml:space="preserve">Consigne :</w:t>
      </w:r>
      <w:r>
        <w:t xml:space="preserve"> préparer trois ouvertures de 30 secondes sur le cas ERP, avec les mêmes faits et la même recommandation ; changer l’ordre des arguments ; répondre ensuite en 30 secondes à la question du rôle.</w:t>
      </w:r>
    </w:p>
    <w:p>
      <w:pPr>
        <w:spacing w:after="120"/>
      </w:pPr>
      <w:r>
        <w:rPr>
          <w:b/>
          <w:bCs/>
        </w:rPr>
        <w:t xml:space="preserve">Rythme :</w:t>
      </w:r>
      <w:r>
        <w:t xml:space="preserve"> 8 min de présentation des rôles • 12 min de rédaction • 24 min en trois manches de 8 min (1 min de parole + 1 min de retour par personne, jusqu’à quatre étudiants) • 10 min de correction comparée • 6 min de collecte.</w:t>
      </w:r>
    </w:p>
    <w:p>
      <w:pPr>
        <w:spacing w:after="120"/>
      </w:pPr>
      <w:r>
        <w:rPr>
          <w:b/>
          <w:bCs/>
        </w:rPr>
        <w:t xml:space="preserve">Réponses recevables.</w:t>
      </w:r>
      <w:r>
        <w:t xml:space="preserve"> CEO : demander le budget et l’arrêt pour traiter l’exposition de l’outil de commande, sans prédire un incident certain. CFO : annoncer l’estimation de 4 500 €, l’arrêt de quatre heures et l’impact financier non fourni ; pas de retour sur investissement inventé. COO : demander l’accord sur le principe de l’arrêt ; faire confirmer un créneau en heures non ouvrées et les conditions de reprise.</w:t>
      </w:r>
    </w:p>
    <w:p>
      <w:pPr>
        <w:spacing w:after="120"/>
      </w:pPr>
      <w:r>
        <w:rPr>
          <w:b/>
          <w:bCs/>
        </w:rPr>
        <w:t xml:space="preserve">Correction.</w:t>
      </w:r>
      <w:r>
        <w:t xml:space="preserve"> Une adaptation réussie change la priorité de lecture, pas le montant ni le niveau de certitude. Si un fait est ajouté : « D’où vient cette information ? Est-ce une proposition ou un fait acquis ? »</w:t>
      </w:r>
    </w:p>
    <w:p>
      <w:pPr>
        <w:pStyle w:val="Heading1"/>
      </w:pPr>
      <w:r>
        <w:t xml:space="preserve">A7 — Le cas ALTA (15:15–16:30)</w:t>
      </w:r>
    </w:p>
    <w:p>
      <w:pPr>
        <w:spacing w:after="120"/>
      </w:pPr>
      <w:r>
        <w:t xml:space="preserve">C1 + C2 + C3 + C4 • Mini-cas inédit, fictif. L’énoncé étudiant est dans le livret (p. 11).</w:t>
      </w:r>
    </w:p>
    <w:p>
      <w:pPr>
        <w:pStyle w:val="Heading2"/>
      </w:pPr>
      <w:r>
        <w:t xml:space="preserve">Rappel des données</w:t>
      </w:r>
    </w:p>
    <w:p>
      <w:pPr>
        <w:spacing w:after="120"/>
      </w:pPr>
      <w:r>
        <w:t xml:space="preserve">À 10 h, un compte de maintenance à distance du prestataire s’est connecté avec succès pendant la nuit depuis une adresse inhabituelle, sans explication du prestataire. Session fermée, mot de passe réinitialisé, outil fonctionnel. Ni vol de données ni modification des plannings ne sont établis, ni exclus. Les mesures ne concernent que l’accès du prestataire. Le directeur des opérations peut autoriser la mesure et une dépense jusqu’à 1 500 €.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shd w:fill="1F3A5F" w:color="auto" w:val="clear"/>
            <w:tcMar>
              <w:top w:type="dxa" w:w="60"/>
              <w:left w:type="dxa" w:w="100"/>
              <w:bottom w:type="dxa" w:w="60"/>
              <w:right w:type="dxa" w:w="100"/>
            </w:tcMar>
          </w:tcPr>
          <w:p>
            <w:pPr>
              <w:spacing w:after="40"/>
            </w:pPr>
            <w:r>
              <w:rPr>
                <w:b/>
                <w:bCs/>
                <w:color w:val="FFFFFF"/>
                <w:sz w:val="19"/>
                <w:szCs w:val="19"/>
              </w:rPr>
              <w:t xml:space="preserve">Option A — suspendre 24 h</w:t>
            </w:r>
          </w:p>
        </w:tc>
        <w:tc>
          <w:tcPr>
            <w:tcW w:type="dxa" w:w="4819"/>
            <w:shd w:fill="1F3A5F" w:color="auto" w:val="clear"/>
            <w:tcMar>
              <w:top w:type="dxa" w:w="60"/>
              <w:left w:type="dxa" w:w="100"/>
              <w:bottom w:type="dxa" w:w="60"/>
              <w:right w:type="dxa" w:w="100"/>
            </w:tcMar>
          </w:tcPr>
          <w:p>
            <w:pPr>
              <w:spacing w:after="40"/>
            </w:pPr>
            <w:r>
              <w:rPr>
                <w:b/>
                <w:bCs/>
                <w:color w:val="FFFFFF"/>
                <w:sz w:val="19"/>
                <w:szCs w:val="19"/>
              </w:rPr>
              <w:t xml:space="preserve">Option B — accès supervisé</w:t>
            </w:r>
          </w:p>
        </w:tc>
      </w:tr>
      <w:tr>
        <w:tc>
          <w:tcPr>
            <w:tcW w:type="dxa" w:w="4819"/>
            <w:tcMar>
              <w:top w:type="dxa" w:w="60"/>
              <w:left w:type="dxa" w:w="100"/>
              <w:bottom w:type="dxa" w:w="60"/>
              <w:right w:type="dxa" w:w="100"/>
            </w:tcMar>
          </w:tcPr>
          <w:p>
            <w:pPr>
              <w:spacing w:after="40"/>
            </w:pPr>
            <w:r>
              <w:rPr>
                <w:sz w:val="19"/>
                <w:szCs w:val="19"/>
              </w:rPr>
              <w:t xml:space="preserve">Suspendre l’accès pendant 24 h ; diagnostic externe à 1 200 €.</w:t>
            </w:r>
          </w:p>
        </w:tc>
        <w:tc>
          <w:tcPr>
            <w:tcW w:type="dxa" w:w="4819"/>
            <w:tcMar>
              <w:top w:type="dxa" w:w="60"/>
              <w:left w:type="dxa" w:w="100"/>
              <w:bottom w:type="dxa" w:w="60"/>
              <w:right w:type="dxa" w:w="100"/>
            </w:tcMar>
          </w:tcPr>
          <w:p>
            <w:pPr>
              <w:spacing w:after="40"/>
            </w:pPr>
            <w:r>
              <w:rPr>
                <w:sz w:val="19"/>
                <w:szCs w:val="19"/>
              </w:rPr>
              <w:t xml:space="preserve">Accès uniquement sous supervision d’un technicien interne ; diagnostic externe à 900 €.</w:t>
            </w:r>
          </w:p>
        </w:tc>
      </w:tr>
      <w:tr>
        <w:tc>
          <w:tcPr>
            <w:tcW w:type="dxa" w:w="4819"/>
            <w:shd w:fill="E8EEF5" w:color="auto" w:val="clear"/>
            <w:tcMar>
              <w:top w:type="dxa" w:w="60"/>
              <w:left w:type="dxa" w:w="100"/>
              <w:bottom w:type="dxa" w:w="60"/>
              <w:right w:type="dxa" w:w="100"/>
            </w:tcMar>
          </w:tcPr>
          <w:p>
            <w:pPr>
              <w:spacing w:after="40"/>
            </w:pPr>
            <w:r>
              <w:rPr>
                <w:sz w:val="19"/>
                <w:szCs w:val="19"/>
              </w:rPr>
              <w:t xml:space="preserve">Les salariés gardent l’outil ; maintenance non urgente reportée.</w:t>
            </w:r>
          </w:p>
        </w:tc>
        <w:tc>
          <w:tcPr>
            <w:tcW w:type="dxa" w:w="4819"/>
            <w:shd w:fill="E8EEF5" w:color="auto" w:val="clear"/>
            <w:tcMar>
              <w:top w:type="dxa" w:w="60"/>
              <w:left w:type="dxa" w:w="100"/>
              <w:bottom w:type="dxa" w:w="60"/>
              <w:right w:type="dxa" w:w="100"/>
            </w:tcMar>
          </w:tcPr>
          <w:p>
            <w:pPr>
              <w:spacing w:after="40"/>
            </w:pPr>
            <w:r>
              <w:rPr>
                <w:sz w:val="19"/>
                <w:szCs w:val="19"/>
              </w:rPr>
              <w:t xml:space="preserve">Maintenance réalisée aujourd’hui ; trois heures internes mobilisées (coût non fourni).</w:t>
            </w:r>
          </w:p>
        </w:tc>
      </w:tr>
      <w:tr>
        <w:tc>
          <w:tcPr>
            <w:tcW w:type="dxa" w:w="4819"/>
            <w:tcMar>
              <w:top w:type="dxa" w:w="60"/>
              <w:left w:type="dxa" w:w="100"/>
              <w:bottom w:type="dxa" w:w="60"/>
              <w:right w:type="dxa" w:w="100"/>
            </w:tcMar>
          </w:tcPr>
          <w:p>
            <w:pPr>
              <w:spacing w:after="40"/>
            </w:pPr>
            <w:r>
              <w:rPr>
                <w:sz w:val="19"/>
                <w:szCs w:val="19"/>
              </w:rPr>
              <w:t xml:space="preserve">Une nouvelle panne pourrait être plus longue à corriger ; délai inconnu.</w:t>
            </w:r>
          </w:p>
        </w:tc>
        <w:tc>
          <w:tcPr>
            <w:tcW w:type="dxa" w:w="4819"/>
            <w:tcMar>
              <w:top w:type="dxa" w:w="60"/>
              <w:left w:type="dxa" w:w="100"/>
              <w:bottom w:type="dxa" w:w="60"/>
              <w:right w:type="dxa" w:w="100"/>
            </w:tcMar>
          </w:tcPr>
          <w:p>
            <w:pPr>
              <w:spacing w:after="40"/>
            </w:pPr>
            <w:r>
              <w:rPr>
                <w:sz w:val="19"/>
                <w:szCs w:val="19"/>
              </w:rPr>
              <w:t xml:space="preserve">L’accès distant reste ouvert pendant la maintenance malgré l’origine inexpliquée.</w:t>
            </w:r>
          </w:p>
        </w:tc>
      </w:tr>
    </w:tbl>
    <w:p>
      <w:pPr>
        <w:spacing w:after="120"/>
      </w:pPr>
    </w:p>
    <w:p>
      <w:pPr>
        <w:spacing w:after="120"/>
      </w:pPr>
      <w:r>
        <w:t xml:space="preserve">Diagnostics de même périmètre ; premiers résultats à 16 h dans les deux cas, sans garantie.</w:t>
      </w:r>
    </w:p>
    <w:p>
      <w:pPr>
        <w:pStyle w:val="Heading2"/>
      </w:pPr>
      <w:r>
        <w:t xml:space="preserve">Déroulé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42"/>
        <w:gridCol w:w="8096"/>
      </w:tblGrid>
      <w:tr>
        <w:trPr>
          <w:tblHeader/>
        </w:trPr>
        <w:tc>
          <w:tcPr>
            <w:tcW w:type="dxa" w:w="1542"/>
            <w:shd w:fill="1F3A5F" w:color="auto" w:val="clear"/>
            <w:tcMar>
              <w:top w:type="dxa" w:w="60"/>
              <w:left w:type="dxa" w:w="100"/>
              <w:bottom w:type="dxa" w:w="60"/>
              <w:right w:type="dxa" w:w="100"/>
            </w:tcMar>
          </w:tcPr>
          <w:p>
            <w:pPr>
              <w:spacing w:after="40"/>
            </w:pPr>
            <w:r>
              <w:rPr>
                <w:b/>
                <w:bCs/>
                <w:color w:val="FFFFFF"/>
                <w:sz w:val="19"/>
                <w:szCs w:val="19"/>
              </w:rPr>
              <w:t xml:space="preserve">Minutes</w:t>
            </w:r>
          </w:p>
        </w:tc>
        <w:tc>
          <w:tcPr>
            <w:tcW w:type="dxa" w:w="8096"/>
            <w:shd w:fill="1F3A5F" w:color="auto" w:val="clear"/>
            <w:tcMar>
              <w:top w:type="dxa" w:w="60"/>
              <w:left w:type="dxa" w:w="100"/>
              <w:bottom w:type="dxa" w:w="60"/>
              <w:right w:type="dxa" w:w="100"/>
            </w:tcMar>
          </w:tcPr>
          <w:p>
            <w:pPr>
              <w:spacing w:after="40"/>
            </w:pPr>
            <w:r>
              <w:rPr>
                <w:b/>
                <w:bCs/>
                <w:color w:val="FFFFFF"/>
                <w:sz w:val="19"/>
                <w:szCs w:val="19"/>
              </w:rPr>
              <w:t xml:space="preserve">Animation et trace</w:t>
            </w:r>
          </w:p>
        </w:tc>
      </w:tr>
      <w:tr>
        <w:tc>
          <w:tcPr>
            <w:tcW w:type="dxa" w:w="1542"/>
            <w:tcMar>
              <w:top w:type="dxa" w:w="60"/>
              <w:left w:type="dxa" w:w="100"/>
              <w:bottom w:type="dxa" w:w="60"/>
              <w:right w:type="dxa" w:w="100"/>
            </w:tcMar>
          </w:tcPr>
          <w:p>
            <w:pPr>
              <w:spacing w:after="40"/>
            </w:pPr>
            <w:r>
              <w:rPr>
                <w:sz w:val="19"/>
                <w:szCs w:val="19"/>
              </w:rPr>
              <w:t xml:space="preserve">0–8</w:t>
            </w:r>
          </w:p>
        </w:tc>
        <w:tc>
          <w:tcPr>
            <w:tcW w:type="dxa" w:w="8096"/>
            <w:tcMar>
              <w:top w:type="dxa" w:w="60"/>
              <w:left w:type="dxa" w:w="100"/>
              <w:bottom w:type="dxa" w:w="60"/>
              <w:right w:type="dxa" w:w="100"/>
            </w:tcMar>
          </w:tcPr>
          <w:p>
            <w:pPr>
              <w:spacing w:after="40"/>
            </w:pPr>
            <w:r>
              <w:rPr>
                <w:sz w:val="19"/>
                <w:szCs w:val="19"/>
              </w:rPr>
              <w:t xml:space="preserve">Lecture silencieuse ; répondre uniquement aux questions de compréhension.</w:t>
            </w:r>
          </w:p>
        </w:tc>
      </w:tr>
      <w:tr>
        <w:tc>
          <w:tcPr>
            <w:tcW w:type="dxa" w:w="1542"/>
            <w:shd w:fill="E8EEF5" w:color="auto" w:val="clear"/>
            <w:tcMar>
              <w:top w:type="dxa" w:w="60"/>
              <w:left w:type="dxa" w:w="100"/>
              <w:bottom w:type="dxa" w:w="60"/>
              <w:right w:type="dxa" w:w="100"/>
            </w:tcMar>
          </w:tcPr>
          <w:p>
            <w:pPr>
              <w:spacing w:after="40"/>
            </w:pPr>
            <w:r>
              <w:rPr>
                <w:sz w:val="19"/>
                <w:szCs w:val="19"/>
              </w:rPr>
              <w:t xml:space="preserve">8–18</w:t>
            </w:r>
          </w:p>
        </w:tc>
        <w:tc>
          <w:tcPr>
            <w:tcW w:type="dxa" w:w="8096"/>
            <w:shd w:fill="E8EEF5" w:color="auto" w:val="clear"/>
            <w:tcMar>
              <w:top w:type="dxa" w:w="60"/>
              <w:left w:type="dxa" w:w="100"/>
              <w:bottom w:type="dxa" w:w="60"/>
              <w:right w:type="dxa" w:w="100"/>
            </w:tcMar>
          </w:tcPr>
          <w:p>
            <w:pPr>
              <w:spacing w:after="40"/>
            </w:pPr>
            <w:r>
              <w:rPr>
                <w:sz w:val="19"/>
                <w:szCs w:val="19"/>
              </w:rPr>
              <w:t xml:space="preserve">Préparation individuelle : plan libre ; trame SCQA disponible, aide utilisée à relever.</w:t>
            </w:r>
          </w:p>
        </w:tc>
      </w:tr>
      <w:tr>
        <w:tc>
          <w:tcPr>
            <w:tcW w:type="dxa" w:w="1542"/>
            <w:tcMar>
              <w:top w:type="dxa" w:w="60"/>
              <w:left w:type="dxa" w:w="100"/>
              <w:bottom w:type="dxa" w:w="60"/>
              <w:right w:type="dxa" w:w="100"/>
            </w:tcMar>
          </w:tcPr>
          <w:p>
            <w:pPr>
              <w:spacing w:after="40"/>
            </w:pPr>
            <w:r>
              <w:rPr>
                <w:sz w:val="19"/>
                <w:szCs w:val="19"/>
              </w:rPr>
              <w:t xml:space="preserve">18–34</w:t>
            </w:r>
          </w:p>
        </w:tc>
        <w:tc>
          <w:tcPr>
            <w:tcW w:type="dxa" w:w="8096"/>
            <w:tcMar>
              <w:top w:type="dxa" w:w="60"/>
              <w:left w:type="dxa" w:w="100"/>
              <w:bottom w:type="dxa" w:w="60"/>
              <w:right w:type="dxa" w:w="100"/>
            </w:tcMar>
          </w:tcPr>
          <w:p>
            <w:pPr>
              <w:spacing w:after="40"/>
            </w:pPr>
            <w:r>
              <w:rPr>
                <w:sz w:val="19"/>
                <w:szCs w:val="19"/>
              </w:rPr>
              <w:t xml:space="preserve">Premier tour en groupes de 3 ou 4 : 4 min par étudiant (90 s de pitch, 60 s de question-réponse, 90 s de retour et rotation).</w:t>
            </w:r>
          </w:p>
        </w:tc>
      </w:tr>
      <w:tr>
        <w:tc>
          <w:tcPr>
            <w:tcW w:type="dxa" w:w="1542"/>
            <w:shd w:fill="E8EEF5" w:color="auto" w:val="clear"/>
            <w:tcMar>
              <w:top w:type="dxa" w:w="60"/>
              <w:left w:type="dxa" w:w="100"/>
              <w:bottom w:type="dxa" w:w="60"/>
              <w:right w:type="dxa" w:w="100"/>
            </w:tcMar>
          </w:tcPr>
          <w:p>
            <w:pPr>
              <w:spacing w:after="40"/>
            </w:pPr>
            <w:r>
              <w:rPr>
                <w:sz w:val="19"/>
                <w:szCs w:val="19"/>
              </w:rPr>
              <w:t xml:space="preserve">34–40</w:t>
            </w:r>
          </w:p>
        </w:tc>
        <w:tc>
          <w:tcPr>
            <w:tcW w:type="dxa" w:w="8096"/>
            <w:shd w:fill="E8EEF5" w:color="auto" w:val="clear"/>
            <w:tcMar>
              <w:top w:type="dxa" w:w="60"/>
              <w:left w:type="dxa" w:w="100"/>
              <w:bottom w:type="dxa" w:w="60"/>
              <w:right w:type="dxa" w:w="100"/>
            </w:tcMar>
          </w:tcPr>
          <w:p>
            <w:pPr>
              <w:spacing w:after="40"/>
            </w:pPr>
            <w:r>
              <w:rPr>
                <w:sz w:val="19"/>
                <w:szCs w:val="19"/>
              </w:rPr>
              <w:t xml:space="preserve">Révision : un changement de fond et un changement d’expression.</w:t>
            </w:r>
          </w:p>
        </w:tc>
      </w:tr>
      <w:tr>
        <w:tc>
          <w:tcPr>
            <w:tcW w:type="dxa" w:w="1542"/>
            <w:tcMar>
              <w:top w:type="dxa" w:w="60"/>
              <w:left w:type="dxa" w:w="100"/>
              <w:bottom w:type="dxa" w:w="60"/>
              <w:right w:type="dxa" w:w="100"/>
            </w:tcMar>
          </w:tcPr>
          <w:p>
            <w:pPr>
              <w:spacing w:after="40"/>
            </w:pPr>
            <w:r>
              <w:rPr>
                <w:sz w:val="19"/>
                <w:szCs w:val="19"/>
              </w:rPr>
              <w:t xml:space="preserve">40–56</w:t>
            </w:r>
          </w:p>
        </w:tc>
        <w:tc>
          <w:tcPr>
            <w:tcW w:type="dxa" w:w="8096"/>
            <w:tcMar>
              <w:top w:type="dxa" w:w="60"/>
              <w:left w:type="dxa" w:w="100"/>
              <w:bottom w:type="dxa" w:w="60"/>
              <w:right w:type="dxa" w:w="100"/>
            </w:tcMar>
          </w:tcPr>
          <w:p>
            <w:pPr>
              <w:spacing w:after="40"/>
            </w:pPr>
            <w:r>
              <w:rPr>
                <w:sz w:val="19"/>
                <w:szCs w:val="19"/>
              </w:rPr>
              <w:t xml:space="preserve">Second tour, même format ; changer le décideur si possible.</w:t>
            </w:r>
          </w:p>
        </w:tc>
      </w:tr>
      <w:tr>
        <w:tc>
          <w:tcPr>
            <w:tcW w:type="dxa" w:w="1542"/>
            <w:shd w:fill="E8EEF5" w:color="auto" w:val="clear"/>
            <w:tcMar>
              <w:top w:type="dxa" w:w="60"/>
              <w:left w:type="dxa" w:w="100"/>
              <w:bottom w:type="dxa" w:w="60"/>
              <w:right w:type="dxa" w:w="100"/>
            </w:tcMar>
          </w:tcPr>
          <w:p>
            <w:pPr>
              <w:spacing w:after="40"/>
            </w:pPr>
            <w:r>
              <w:rPr>
                <w:sz w:val="19"/>
                <w:szCs w:val="19"/>
              </w:rPr>
              <w:t xml:space="preserve">56–66</w:t>
            </w:r>
          </w:p>
        </w:tc>
        <w:tc>
          <w:tcPr>
            <w:tcW w:type="dxa" w:w="8096"/>
            <w:shd w:fill="E8EEF5" w:color="auto" w:val="clear"/>
            <w:tcMar>
              <w:top w:type="dxa" w:w="60"/>
              <w:left w:type="dxa" w:w="100"/>
              <w:bottom w:type="dxa" w:w="60"/>
              <w:right w:type="dxa" w:w="100"/>
            </w:tcMar>
          </w:tcPr>
          <w:p>
            <w:pPr>
              <w:spacing w:after="40"/>
            </w:pPr>
            <w:r>
              <w:rPr>
                <w:sz w:val="19"/>
                <w:szCs w:val="19"/>
              </w:rPr>
              <w:t xml:space="preserve">Synthèse individuelle de 100 à 130 mots, sans recopier un modèle.</w:t>
            </w:r>
          </w:p>
        </w:tc>
      </w:tr>
      <w:tr>
        <w:tc>
          <w:tcPr>
            <w:tcW w:type="dxa" w:w="1542"/>
            <w:tcMar>
              <w:top w:type="dxa" w:w="60"/>
              <w:left w:type="dxa" w:w="100"/>
              <w:bottom w:type="dxa" w:w="60"/>
              <w:right w:type="dxa" w:w="100"/>
            </w:tcMar>
          </w:tcPr>
          <w:p>
            <w:pPr>
              <w:spacing w:after="40"/>
            </w:pPr>
            <w:r>
              <w:rPr>
                <w:sz w:val="19"/>
                <w:szCs w:val="19"/>
              </w:rPr>
              <w:t xml:space="preserve">66–75</w:t>
            </w:r>
          </w:p>
        </w:tc>
        <w:tc>
          <w:tcPr>
            <w:tcW w:type="dxa" w:w="8096"/>
            <w:tcMar>
              <w:top w:type="dxa" w:w="60"/>
              <w:left w:type="dxa" w:w="100"/>
              <w:bottom w:type="dxa" w:w="60"/>
              <w:right w:type="dxa" w:w="100"/>
            </w:tcMar>
          </w:tcPr>
          <w:p>
            <w:pPr>
              <w:spacing w:after="40"/>
            </w:pPr>
            <w:r>
              <w:rPr>
                <w:sz w:val="19"/>
                <w:szCs w:val="19"/>
              </w:rPr>
              <w:t xml:space="preserve">Débrief et collecte : une amélioration, une difficulté, une aide encore nécessaire.</w:t>
            </w:r>
          </w:p>
        </w:tc>
      </w:tr>
    </w:tbl>
    <w:p>
      <w:pPr>
        <w:spacing w:after="120"/>
      </w:pPr>
    </w:p>
    <w:p>
      <w:pPr>
        <w:spacing w:after="120"/>
      </w:pPr>
      <w:r>
        <w:rPr>
          <w:b/>
          <w:bCs/>
        </w:rPr>
        <w:t xml:space="preserve">Rôles :</w:t>
      </w:r>
      <w:r>
        <w:t xml:space="preserve"> à trois, présentateur, directeur des opérations, observateur ; à quatre, un second observateur (l’un suit faits et décision, l’autre expression et temps). Rotation après chaque passage.</w:t>
      </w:r>
    </w:p>
    <w:p>
      <w:pPr>
        <w:spacing w:after="120"/>
      </w:pPr>
      <w:r>
        <w:rPr>
          <w:b/>
          <w:bCs/>
        </w:rPr>
        <w:t xml:space="preserve">Questions du décideur (une par passage) :</w:t>
      </w:r>
      <w:r>
        <w:t xml:space="preserve"> « Pourquoi ne pas retenir l’autre option ? » • « Pouvez-vous garantir qu’aucune donnée n’a été volée ? » • « Que ferez-vous si les résultats de 16 h sont incomplets ? » • « Les 300 € d’écart représentent-ils l’écart de coût total ? »</w:t>
      </w:r>
    </w:p>
    <w:p>
      <w:pPr>
        <w:spacing w:after="120"/>
      </w:pPr>
      <w:r>
        <w:rPr>
          <w:b/>
          <w:bCs/>
        </w:rPr>
        <w:t xml:space="preserve">Rôle du formateur :</w:t>
      </w:r>
      <w:r>
        <w:t xml:space="preserve"> écouter quelques passages par groupe et relever une phrase exacte ; ne pas interrompre chaque hésitation ; intervenir tout de suite si la consigne est mal comprise ; corriger le raisonnement au retour, puis faire rejouer. Indicateur central : ce que l’étudiant réussit sur ce nouveau cas, avec ou sans aide.</w:t>
      </w:r>
    </w:p>
    <w:p>
      <w:pPr>
        <w:pStyle w:val="Heading2"/>
      </w:pPr>
      <w:r>
        <w:t xml:space="preserve">Corrigé — ne pas distribuer avant les productions</w:t>
      </w:r>
    </w:p>
    <w:p>
      <w:pPr>
        <w:pBdr>
          <w:left w:val="single" w:color="1F3A5F" w:sz="12" w:space="8"/>
        </w:pBdr>
        <w:spacing w:after="120"/>
        <w:ind w:left="400"/>
      </w:pPr>
      <w:r>
        <w:rPr>
          <w:i/>
          <w:iCs/>
        </w:rPr>
        <w:t xml:space="preserve">Option A, exemple : « Je recommande de suspendre l’accès distant du prestataire pendant 24 heures et d’autoriser le diagnostic à 1 200 €. Une connexion inhabituelle reste inexpliquée, sans vol de données ni modification établis à ce stade. L’outil continue de fonctionner ; seule une maintenance non urgente est reportée. Cette option limite temporairement l’exposition liée à cet accès, mais pourrait allonger le traitement d’une panne nouvelle. L’accès supervisé à 900 € permettrait la maintenance aujourd’hui, tout en mobilisant trois heures internes. Je sollicite votre accord sur la suspension et la dépense. Je propose un point à 16 h pour examiner les premiers résultats et réévaluer la mesure, sans promettre que toutes les incertitudes seront levées. »</w:t>
      </w:r>
    </w:p>
    <w:p>
      <w:pPr>
        <w:spacing w:after="120"/>
      </w:pPr>
      <w:r>
        <w:rPr>
          <w:b/>
          <w:bCs/>
        </w:rPr>
        <w:t xml:space="preserve">Option B, recevable :</w:t>
      </w:r>
      <w:r>
        <w:t xml:space="preserve"> accès supervisé à 900 € pour maintenir la maintenance ; l’étudiant reconnaît qu’elle n’est pas urgente, que trois heures internes sont mobilisées et que l’origine reste inconnue ; il assume un choix moins protecteur. Ne pas lui attribuer zéro parce qu’il diffère du modèle 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5783"/>
      </w:tblGrid>
      <w:tr>
        <w:trPr>
          <w:tblHeader/>
        </w:trPr>
        <w:tc>
          <w:tcPr>
            <w:tcW w:type="dxa" w:w="3855"/>
            <w:shd w:fill="1F3A5F" w:color="auto" w:val="clear"/>
            <w:tcMar>
              <w:top w:type="dxa" w:w="60"/>
              <w:left w:type="dxa" w:w="100"/>
              <w:bottom w:type="dxa" w:w="60"/>
              <w:right w:type="dxa" w:w="100"/>
            </w:tcMar>
          </w:tcPr>
          <w:p>
            <w:pPr>
              <w:spacing w:after="40"/>
            </w:pPr>
            <w:r>
              <w:rPr>
                <w:b/>
                <w:bCs/>
                <w:color w:val="FFFFFF"/>
                <w:sz w:val="19"/>
                <w:szCs w:val="19"/>
              </w:rPr>
              <w:t xml:space="preserve">Question</w:t>
            </w:r>
          </w:p>
        </w:tc>
        <w:tc>
          <w:tcPr>
            <w:tcW w:type="dxa" w:w="5783"/>
            <w:shd w:fill="1F3A5F" w:color="auto" w:val="clear"/>
            <w:tcMar>
              <w:top w:type="dxa" w:w="60"/>
              <w:left w:type="dxa" w:w="100"/>
              <w:bottom w:type="dxa" w:w="60"/>
              <w:right w:type="dxa" w:w="100"/>
            </w:tcMar>
          </w:tcPr>
          <w:p>
            <w:pPr>
              <w:spacing w:after="40"/>
            </w:pPr>
            <w:r>
              <w:rPr>
                <w:b/>
                <w:bCs/>
                <w:color w:val="FFFFFF"/>
                <w:sz w:val="19"/>
                <w:szCs w:val="19"/>
              </w:rPr>
              <w:t xml:space="preserve">Réponse attendue</w:t>
            </w:r>
          </w:p>
        </w:tc>
      </w:tr>
      <w:tr>
        <w:tc>
          <w:tcPr>
            <w:tcW w:type="dxa" w:w="3855"/>
            <w:tcMar>
              <w:top w:type="dxa" w:w="60"/>
              <w:left w:type="dxa" w:w="100"/>
              <w:bottom w:type="dxa" w:w="60"/>
              <w:right w:type="dxa" w:w="100"/>
            </w:tcMar>
          </w:tcPr>
          <w:p>
            <w:pPr>
              <w:spacing w:after="40"/>
            </w:pPr>
            <w:r>
              <w:rPr>
                <w:sz w:val="19"/>
                <w:szCs w:val="19"/>
              </w:rPr>
              <w:t xml:space="preserve">« Aucune fuite, garanti ? »</w:t>
            </w:r>
          </w:p>
        </w:tc>
        <w:tc>
          <w:tcPr>
            <w:tcW w:type="dxa" w:w="5783"/>
            <w:tcMar>
              <w:top w:type="dxa" w:w="60"/>
              <w:left w:type="dxa" w:w="100"/>
              <w:bottom w:type="dxa" w:w="60"/>
              <w:right w:type="dxa" w:w="100"/>
            </w:tcMar>
          </w:tcPr>
          <w:p>
            <w:pPr>
              <w:spacing w:after="40"/>
            </w:pPr>
            <w:r>
              <w:rPr>
                <w:sz w:val="19"/>
                <w:szCs w:val="19"/>
              </w:rPr>
              <w:t xml:space="preserve">Non. Aucun vol n’est établi par l’analyse disponible ; il n’est pas exclu.</w:t>
            </w:r>
          </w:p>
        </w:tc>
      </w:tr>
      <w:tr>
        <w:tc>
          <w:tcPr>
            <w:tcW w:type="dxa" w:w="3855"/>
            <w:shd w:fill="E8EEF5" w:color="auto" w:val="clear"/>
            <w:tcMar>
              <w:top w:type="dxa" w:w="60"/>
              <w:left w:type="dxa" w:w="100"/>
              <w:bottom w:type="dxa" w:w="60"/>
              <w:right w:type="dxa" w:w="100"/>
            </w:tcMar>
          </w:tcPr>
          <w:p>
            <w:pPr>
              <w:spacing w:after="40"/>
            </w:pPr>
            <w:r>
              <w:rPr>
                <w:sz w:val="19"/>
                <w:szCs w:val="19"/>
              </w:rPr>
              <w:t xml:space="preserve">« Pourquoi pas l’autre option ? »</w:t>
            </w:r>
          </w:p>
        </w:tc>
        <w:tc>
          <w:tcPr>
            <w:tcW w:type="dxa" w:w="5783"/>
            <w:shd w:fill="E8EEF5" w:color="auto" w:val="clear"/>
            <w:tcMar>
              <w:top w:type="dxa" w:w="60"/>
              <w:left w:type="dxa" w:w="100"/>
              <w:bottom w:type="dxa" w:w="60"/>
              <w:right w:type="dxa" w:w="100"/>
            </w:tcMar>
          </w:tcPr>
          <w:p>
            <w:pPr>
              <w:spacing w:after="40"/>
            </w:pPr>
            <w:r>
              <w:rPr>
                <w:sz w:val="19"/>
                <w:szCs w:val="19"/>
              </w:rPr>
              <w:t xml:space="preserve">Citer son avantage réel, puis le compromis qui justifie la préférence.</w:t>
            </w:r>
          </w:p>
        </w:tc>
      </w:tr>
      <w:tr>
        <w:tc>
          <w:tcPr>
            <w:tcW w:type="dxa" w:w="3855"/>
            <w:tcMar>
              <w:top w:type="dxa" w:w="60"/>
              <w:left w:type="dxa" w:w="100"/>
              <w:bottom w:type="dxa" w:w="60"/>
              <w:right w:type="dxa" w:w="100"/>
            </w:tcMar>
          </w:tcPr>
          <w:p>
            <w:pPr>
              <w:spacing w:after="40"/>
            </w:pPr>
            <w:r>
              <w:rPr>
                <w:sz w:val="19"/>
                <w:szCs w:val="19"/>
              </w:rPr>
              <w:t xml:space="preserve">« Et si 16 h ne suffit pas ? »</w:t>
            </w:r>
          </w:p>
        </w:tc>
        <w:tc>
          <w:tcPr>
            <w:tcW w:type="dxa" w:w="5783"/>
            <w:tcMar>
              <w:top w:type="dxa" w:w="60"/>
              <w:left w:type="dxa" w:w="100"/>
              <w:bottom w:type="dxa" w:w="60"/>
              <w:right w:type="dxa" w:w="100"/>
            </w:tcMar>
          </w:tcPr>
          <w:p>
            <w:pPr>
              <w:spacing w:after="40"/>
            </w:pPr>
            <w:r>
              <w:rPr>
                <w:sz w:val="19"/>
                <w:szCs w:val="19"/>
              </w:rPr>
              <w:t xml:space="preserve">Premier résultat attendu ; proposer un point de décision, pas une promesse de résolution.</w:t>
            </w:r>
          </w:p>
        </w:tc>
      </w:tr>
      <w:tr>
        <w:tc>
          <w:tcPr>
            <w:tcW w:type="dxa" w:w="3855"/>
            <w:shd w:fill="E8EEF5" w:color="auto" w:val="clear"/>
            <w:tcMar>
              <w:top w:type="dxa" w:w="60"/>
              <w:left w:type="dxa" w:w="100"/>
              <w:bottom w:type="dxa" w:w="60"/>
              <w:right w:type="dxa" w:w="100"/>
            </w:tcMar>
          </w:tcPr>
          <w:p>
            <w:pPr>
              <w:spacing w:after="40"/>
            </w:pPr>
            <w:r>
              <w:rPr>
                <w:sz w:val="19"/>
                <w:szCs w:val="19"/>
              </w:rPr>
              <w:t xml:space="preserve">« Les 300 € = coût total ? »</w:t>
            </w:r>
          </w:p>
        </w:tc>
        <w:tc>
          <w:tcPr>
            <w:tcW w:type="dxa" w:w="5783"/>
            <w:shd w:fill="E8EEF5" w:color="auto" w:val="clear"/>
            <w:tcMar>
              <w:top w:type="dxa" w:w="60"/>
              <w:left w:type="dxa" w:w="100"/>
              <w:bottom w:type="dxa" w:w="60"/>
              <w:right w:type="dxa" w:w="100"/>
            </w:tcMar>
          </w:tcPr>
          <w:p>
            <w:pPr>
              <w:spacing w:after="40"/>
            </w:pPr>
            <w:r>
              <w:rPr>
                <w:sz w:val="19"/>
                <w:szCs w:val="19"/>
              </w:rPr>
              <w:t xml:space="preserve">Écart de dépenses externes : 1 200 − 900 = 300 €. Coût interne de B et impacts indirects non chiffrés.</w:t>
            </w:r>
          </w:p>
        </w:tc>
      </w:tr>
    </w:tbl>
    <w:p>
      <w:pPr>
        <w:spacing w:after="120"/>
      </w:pPr>
    </w:p>
    <w:p>
      <w:pPr>
        <w:spacing w:after="120"/>
      </w:pPr>
      <w:r>
        <w:rPr>
          <w:b/>
          <w:bCs/>
        </w:rPr>
        <w:t xml:space="preserve">Erreurs à corriger en priorité :</w:t>
      </w:r>
      <w:r>
        <w:t xml:space="preserve"> affirmer qu’ALTA a été piratée ; confondre fermeture de l’accès prestataire et arrêt de l’outil ; promettre l’absence de fuite ; transformer les 300 € en économie totale ; omettre la décision attendue ; recommander une troisième solution non documentée.</w:t>
      </w:r>
    </w:p>
    <w:p>
      <w:pPr>
        <w:spacing w:after="120"/>
      </w:pPr>
      <w:r>
        <w:rPr>
          <w:b/>
          <w:bCs/>
        </w:rPr>
        <w:t xml:space="preserve">Débrief :</w:t>
      </w:r>
      <w:r>
        <w:t xml:space="preserve"> « Quel fait fait pencher votre décision ? Quelle incertitude la limite ? Qu’est-ce qui vous ferait la réviser ? » Valoriser la révision motivée d’un choix.</w:t>
      </w:r>
    </w:p>
    <w:p>
      <w:pPr>
        <w:pStyle w:val="Heading1"/>
      </w:pPr>
      <w:r>
        <w:t xml:space="preserve">A8 — Bilan et projection (16:30–17:00)</w:t>
      </w:r>
    </w:p>
    <w:p>
      <w:pPr>
        <w:spacing w:after="120"/>
      </w:pPr>
      <w:r>
        <w:rPr>
          <w:b/>
          <w:bCs/>
        </w:rPr>
        <w:t xml:space="preserve">Ticket de sortie (identique au livret, p. 14) :</w:t>
      </w:r>
      <w:r>
        <w:t xml:space="preserve"> 1. Ma demande de décision en une phrase. 2. Un fait, un risque et une inconnue du cas ALTA. 3. Une modification entre mes deux essais et son effet. 4. Une priorité personnelle pour la prochaine séance.</w:t>
      </w:r>
    </w:p>
    <w:p>
      <w:pPr>
        <w:spacing w:after="120"/>
      </w:pPr>
      <w:r>
        <w:rPr>
          <w:b/>
          <w:bCs/>
        </w:rPr>
        <w:t xml:space="preserve">Déroulé :</w:t>
      </w:r>
      <w:r>
        <w:t xml:space="preserve"> 8 min de rédaction individuelle • 7 min d’échange en binôme • 10 min de synthèse et présentation de la suite • 5 min de collecte et questions.</w:t>
      </w:r>
    </w:p>
    <w:p>
      <w:pPr>
        <w:pBdr>
          <w:left w:val="single" w:color="E09A2B" w:sz="18" w:space="8"/>
        </w:pBdr>
        <w:shd w:fill="FFF4E0" w:color="auto" w:val="clear"/>
        <w:spacing w:after="160" w:before="120"/>
      </w:pPr>
      <w:r>
        <w:t xml:space="preserve">Message à transmettre : les productions du 25 septembre sont conservées ; la séance d’aujourd’hui permet de les améliorer et de s’entraîner sur un autre cas. Le contrôle écrit a lieu le 6 novembre après de nouveaux ateliers ; le pitch individuel le 22 janvier. Les consignes détaillées seront communiquées avant chaque évaluation.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5783"/>
      </w:tblGrid>
      <w:tr>
        <w:trPr>
          <w:tblHeader/>
        </w:trPr>
        <w:tc>
          <w:tcPr>
            <w:tcW w:type="dxa" w:w="3855"/>
            <w:shd w:fill="1F3A5F" w:color="auto" w:val="clear"/>
            <w:tcMar>
              <w:top w:type="dxa" w:w="60"/>
              <w:left w:type="dxa" w:w="100"/>
              <w:bottom w:type="dxa" w:w="60"/>
              <w:right w:type="dxa" w:w="100"/>
            </w:tcMar>
          </w:tcPr>
          <w:p>
            <w:pPr>
              <w:spacing w:after="40"/>
            </w:pPr>
            <w:r>
              <w:rPr>
                <w:b/>
                <w:bCs/>
                <w:color w:val="FFFFFF"/>
                <w:sz w:val="19"/>
                <w:szCs w:val="19"/>
              </w:rPr>
              <w:t xml:space="preserve">Production collectée</w:t>
            </w:r>
          </w:p>
        </w:tc>
        <w:tc>
          <w:tcPr>
            <w:tcW w:type="dxa" w:w="5783"/>
            <w:shd w:fill="1F3A5F" w:color="auto" w:val="clear"/>
            <w:tcMar>
              <w:top w:type="dxa" w:w="60"/>
              <w:left w:type="dxa" w:w="100"/>
              <w:bottom w:type="dxa" w:w="60"/>
              <w:right w:type="dxa" w:w="100"/>
            </w:tcMar>
          </w:tcPr>
          <w:p>
            <w:pPr>
              <w:spacing w:after="40"/>
            </w:pPr>
            <w:r>
              <w:rPr>
                <w:b/>
                <w:bCs/>
                <w:color w:val="FFFFFF"/>
                <w:sz w:val="19"/>
                <w:szCs w:val="19"/>
              </w:rPr>
              <w:t xml:space="preserve">Utilisation</w:t>
            </w:r>
          </w:p>
        </w:tc>
      </w:tr>
      <w:tr>
        <w:tc>
          <w:tcPr>
            <w:tcW w:type="dxa" w:w="3855"/>
            <w:tcMar>
              <w:top w:type="dxa" w:w="60"/>
              <w:left w:type="dxa" w:w="100"/>
              <w:bottom w:type="dxa" w:w="60"/>
              <w:right w:type="dxa" w:w="100"/>
            </w:tcMar>
          </w:tcPr>
          <w:p>
            <w:pPr>
              <w:spacing w:after="40"/>
            </w:pPr>
            <w:r>
              <w:rPr>
                <w:sz w:val="19"/>
                <w:szCs w:val="19"/>
              </w:rPr>
              <w:t xml:space="preserve">Note Flash V2 + deux changements</w:t>
            </w:r>
          </w:p>
        </w:tc>
        <w:tc>
          <w:tcPr>
            <w:tcW w:type="dxa" w:w="5783"/>
            <w:tcMar>
              <w:top w:type="dxa" w:w="60"/>
              <w:left w:type="dxa" w:w="100"/>
              <w:bottom w:type="dxa" w:w="60"/>
              <w:right w:type="dxa" w:w="100"/>
            </w:tcMar>
          </w:tcPr>
          <w:p>
            <w:pPr>
              <w:spacing w:after="40"/>
            </w:pPr>
            <w:r>
              <w:rPr>
                <w:sz w:val="19"/>
                <w:szCs w:val="19"/>
              </w:rPr>
              <w:t xml:space="preserve">Vérifier la progression par rapport à la V1.</w:t>
            </w:r>
          </w:p>
        </w:tc>
      </w:tr>
      <w:tr>
        <w:tc>
          <w:tcPr>
            <w:tcW w:type="dxa" w:w="3855"/>
            <w:shd w:fill="E8EEF5" w:color="auto" w:val="clear"/>
            <w:tcMar>
              <w:top w:type="dxa" w:w="60"/>
              <w:left w:type="dxa" w:w="100"/>
              <w:bottom w:type="dxa" w:w="60"/>
              <w:right w:type="dxa" w:w="100"/>
            </w:tcMar>
          </w:tcPr>
          <w:p>
            <w:pPr>
              <w:spacing w:after="40"/>
            </w:pPr>
            <w:r>
              <w:rPr>
                <w:sz w:val="19"/>
                <w:szCs w:val="19"/>
              </w:rPr>
              <w:t xml:space="preserve">Grille d’observation des passages</w:t>
            </w:r>
          </w:p>
        </w:tc>
        <w:tc>
          <w:tcPr>
            <w:tcW w:type="dxa" w:w="5783"/>
            <w:shd w:fill="E8EEF5" w:color="auto" w:val="clear"/>
            <w:tcMar>
              <w:top w:type="dxa" w:w="60"/>
              <w:left w:type="dxa" w:w="100"/>
              <w:bottom w:type="dxa" w:w="60"/>
              <w:right w:type="dxa" w:w="100"/>
            </w:tcMar>
          </w:tcPr>
          <w:p>
            <w:pPr>
              <w:spacing w:after="40"/>
            </w:pPr>
            <w:r>
              <w:rPr>
                <w:sz w:val="19"/>
                <w:szCs w:val="19"/>
              </w:rPr>
              <w:t xml:space="preserve">Identifier les réussites et les aides encore nécessaires.</w:t>
            </w:r>
          </w:p>
        </w:tc>
      </w:tr>
      <w:tr>
        <w:tc>
          <w:tcPr>
            <w:tcW w:type="dxa" w:w="3855"/>
            <w:tcMar>
              <w:top w:type="dxa" w:w="60"/>
              <w:left w:type="dxa" w:w="100"/>
              <w:bottom w:type="dxa" w:w="60"/>
              <w:right w:type="dxa" w:w="100"/>
            </w:tcMar>
          </w:tcPr>
          <w:p>
            <w:pPr>
              <w:spacing w:after="40"/>
            </w:pPr>
            <w:r>
              <w:rPr>
                <w:sz w:val="19"/>
                <w:szCs w:val="19"/>
              </w:rPr>
              <w:t xml:space="preserve">Synthèse ALTA et ticket de sortie</w:t>
            </w:r>
          </w:p>
        </w:tc>
        <w:tc>
          <w:tcPr>
            <w:tcW w:type="dxa" w:w="5783"/>
            <w:tcMar>
              <w:top w:type="dxa" w:w="60"/>
              <w:left w:type="dxa" w:w="100"/>
              <w:bottom w:type="dxa" w:w="60"/>
              <w:right w:type="dxa" w:w="100"/>
            </w:tcMar>
          </w:tcPr>
          <w:p>
            <w:pPr>
              <w:spacing w:after="40"/>
            </w:pPr>
            <w:r>
              <w:rPr>
                <w:sz w:val="19"/>
                <w:szCs w:val="19"/>
              </w:rPr>
              <w:t xml:space="preserve">Vérifier la compréhension individuelle.</w:t>
            </w:r>
          </w:p>
        </w:tc>
      </w:tr>
    </w:tbl>
    <w:p>
      <w:pPr>
        <w:spacing w:after="120"/>
      </w:pPr>
    </w:p>
    <w:p>
      <w:pPr>
        <w:spacing w:after="120"/>
      </w:pPr>
      <w:r>
        <w:rPr>
          <w:b/>
          <w:bCs/>
        </w:rPr>
        <w:t xml:space="preserve">Après la séance :</w:t>
      </w:r>
      <w:r>
        <w:t xml:space="preserve"> classer les besoins par compétence, sans note improvisée. Si la demande de décision ou la distinction fait/hypothèse reste fragile, faire un essai guidé pendant la réactivation du 6 novembre (B1). Sinon, renforcer les objections et la comparaison d’options. Consigner l’effectif réel, les productions collectées, deux acquis et deux besoins.</w:t>
      </w:r>
    </w:p>
    <w:p>
      <w:pPr>
        <w:pStyle w:val="Heading1"/>
      </w:pPr>
      <w:r>
        <w:t xml:space="preserve">Grille d’observation commune (formative)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4819"/>
        <w:gridCol w:w="1445"/>
        <w:gridCol w:w="1447"/>
      </w:tblGrid>
      <w:tr>
        <w:trPr>
          <w:tblHeader/>
        </w:trPr>
        <w:tc>
          <w:tcPr>
            <w:tcW w:type="dxa" w:w="1927"/>
            <w:shd w:fill="1F3A5F" w:color="auto" w:val="clear"/>
            <w:tcMar>
              <w:top w:type="dxa" w:w="60"/>
              <w:left w:type="dxa" w:w="100"/>
              <w:bottom w:type="dxa" w:w="60"/>
              <w:right w:type="dxa" w:w="100"/>
            </w:tcMar>
          </w:tcPr>
          <w:p>
            <w:pPr>
              <w:spacing w:after="40"/>
            </w:pPr>
            <w:r>
              <w:rPr>
                <w:b/>
                <w:bCs/>
                <w:color w:val="FFFFFF"/>
                <w:sz w:val="19"/>
                <w:szCs w:val="19"/>
              </w:rPr>
              <w:t xml:space="preserve">Critère</w:t>
            </w:r>
          </w:p>
        </w:tc>
        <w:tc>
          <w:tcPr>
            <w:tcW w:type="dxa" w:w="4819"/>
            <w:shd w:fill="1F3A5F" w:color="auto" w:val="clear"/>
            <w:tcMar>
              <w:top w:type="dxa" w:w="60"/>
              <w:left w:type="dxa" w:w="100"/>
              <w:bottom w:type="dxa" w:w="60"/>
              <w:right w:type="dxa" w:w="100"/>
            </w:tcMar>
          </w:tcPr>
          <w:p>
            <w:pPr>
              <w:spacing w:after="40"/>
            </w:pPr>
            <w:r>
              <w:rPr>
                <w:b/>
                <w:bCs/>
                <w:color w:val="FFFFFF"/>
                <w:sz w:val="19"/>
                <w:szCs w:val="19"/>
              </w:rPr>
              <w:t xml:space="preserve">Indice observable</w:t>
            </w:r>
          </w:p>
        </w:tc>
        <w:tc>
          <w:tcPr>
            <w:tcW w:type="dxa" w:w="1445"/>
            <w:shd w:fill="1F3A5F" w:color="auto" w:val="clear"/>
            <w:tcMar>
              <w:top w:type="dxa" w:w="60"/>
              <w:left w:type="dxa" w:w="100"/>
              <w:bottom w:type="dxa" w:w="60"/>
              <w:right w:type="dxa" w:w="100"/>
            </w:tcMar>
          </w:tcPr>
          <w:p>
            <w:pPr>
              <w:spacing w:after="40"/>
            </w:pPr>
            <w:r>
              <w:rPr>
                <w:b/>
                <w:bCs/>
                <w:color w:val="FFFFFF"/>
                <w:sz w:val="19"/>
                <w:szCs w:val="19"/>
              </w:rPr>
              <w:t xml:space="preserve">Essai 1</w:t>
            </w:r>
          </w:p>
        </w:tc>
        <w:tc>
          <w:tcPr>
            <w:tcW w:type="dxa" w:w="1447"/>
            <w:shd w:fill="1F3A5F" w:color="auto" w:val="clear"/>
            <w:tcMar>
              <w:top w:type="dxa" w:w="60"/>
              <w:left w:type="dxa" w:w="100"/>
              <w:bottom w:type="dxa" w:w="60"/>
              <w:right w:type="dxa" w:w="100"/>
            </w:tcMar>
          </w:tcPr>
          <w:p>
            <w:pPr>
              <w:spacing w:after="40"/>
            </w:pPr>
            <w:r>
              <w:rPr>
                <w:b/>
                <w:bCs/>
                <w:color w:val="FFFFFF"/>
                <w:sz w:val="19"/>
                <w:szCs w:val="19"/>
              </w:rPr>
              <w:t xml:space="preserve">Essai 2</w:t>
            </w:r>
          </w:p>
        </w:tc>
      </w:tr>
      <w:tr>
        <w:tc>
          <w:tcPr>
            <w:tcW w:type="dxa" w:w="1927"/>
            <w:tcMar>
              <w:top w:type="dxa" w:w="60"/>
              <w:left w:type="dxa" w:w="100"/>
              <w:bottom w:type="dxa" w:w="60"/>
              <w:right w:type="dxa" w:w="100"/>
            </w:tcMar>
          </w:tcPr>
          <w:p>
            <w:pPr>
              <w:spacing w:after="40"/>
            </w:pPr>
            <w:r>
              <w:rPr>
                <w:sz w:val="19"/>
                <w:szCs w:val="19"/>
              </w:rPr>
              <w:t xml:space="preserve">Décision</w:t>
            </w:r>
          </w:p>
        </w:tc>
        <w:tc>
          <w:tcPr>
            <w:tcW w:type="dxa" w:w="4819"/>
            <w:tcMar>
              <w:top w:type="dxa" w:w="60"/>
              <w:left w:type="dxa" w:w="100"/>
              <w:bottom w:type="dxa" w:w="60"/>
              <w:right w:type="dxa" w:w="100"/>
            </w:tcMar>
          </w:tcPr>
          <w:p>
            <w:pPr>
              <w:spacing w:after="40"/>
            </w:pPr>
            <w:r>
              <w:rPr>
                <w:sz w:val="19"/>
                <w:szCs w:val="19"/>
              </w:rPr>
              <w:t xml:space="preserve">L’accord demandé est explicite ; le destinataire le reformule.</w:t>
            </w:r>
          </w:p>
        </w:tc>
        <w:tc>
          <w:tcPr>
            <w:tcW w:type="dxa" w:w="1445"/>
            <w:tcMar>
              <w:top w:type="dxa" w:w="60"/>
              <w:left w:type="dxa" w:w="100"/>
              <w:bottom w:type="dxa" w:w="60"/>
              <w:right w:type="dxa" w:w="100"/>
            </w:tcMar>
          </w:tcPr>
          <w:p>
            <w:pPr>
              <w:spacing w:after="40"/>
            </w:pPr>
          </w:p>
        </w:tc>
        <w:tc>
          <w:tcPr>
            <w:tcW w:type="dxa" w:w="1447"/>
            <w:tcMar>
              <w:top w:type="dxa" w:w="60"/>
              <w:left w:type="dxa" w:w="100"/>
              <w:bottom w:type="dxa" w:w="60"/>
              <w:right w:type="dxa" w:w="100"/>
            </w:tcMar>
          </w:tcPr>
          <w:p>
            <w:pPr>
              <w:spacing w:after="40"/>
            </w:pPr>
          </w:p>
        </w:tc>
      </w:tr>
      <w:tr>
        <w:tc>
          <w:tcPr>
            <w:tcW w:type="dxa" w:w="1927"/>
            <w:shd w:fill="E8EEF5" w:color="auto" w:val="clear"/>
            <w:tcMar>
              <w:top w:type="dxa" w:w="60"/>
              <w:left w:type="dxa" w:w="100"/>
              <w:bottom w:type="dxa" w:w="60"/>
              <w:right w:type="dxa" w:w="100"/>
            </w:tcMar>
          </w:tcPr>
          <w:p>
            <w:pPr>
              <w:spacing w:after="40"/>
            </w:pPr>
            <w:r>
              <w:rPr>
                <w:sz w:val="19"/>
                <w:szCs w:val="19"/>
              </w:rPr>
              <w:t xml:space="preserve">Impact métier</w:t>
            </w:r>
          </w:p>
        </w:tc>
        <w:tc>
          <w:tcPr>
            <w:tcW w:type="dxa" w:w="4819"/>
            <w:shd w:fill="E8EEF5" w:color="auto" w:val="clear"/>
            <w:tcMar>
              <w:top w:type="dxa" w:w="60"/>
              <w:left w:type="dxa" w:w="100"/>
              <w:bottom w:type="dxa" w:w="60"/>
              <w:right w:type="dxa" w:w="100"/>
            </w:tcMar>
          </w:tcPr>
          <w:p>
            <w:pPr>
              <w:spacing w:after="40"/>
            </w:pPr>
            <w:r>
              <w:rPr>
                <w:sz w:val="19"/>
                <w:szCs w:val="19"/>
              </w:rPr>
              <w:t xml:space="preserve">Le message relie le problème à l’activité ou aux données utiles au décideur.</w:t>
            </w:r>
          </w:p>
        </w:tc>
        <w:tc>
          <w:tcPr>
            <w:tcW w:type="dxa" w:w="1445"/>
            <w:shd w:fill="E8EEF5" w:color="auto" w:val="clear"/>
            <w:tcMar>
              <w:top w:type="dxa" w:w="60"/>
              <w:left w:type="dxa" w:w="100"/>
              <w:bottom w:type="dxa" w:w="60"/>
              <w:right w:type="dxa" w:w="100"/>
            </w:tcMar>
          </w:tcPr>
          <w:p>
            <w:pPr>
              <w:spacing w:after="40"/>
            </w:pPr>
          </w:p>
        </w:tc>
        <w:tc>
          <w:tcPr>
            <w:tcW w:type="dxa" w:w="1447"/>
            <w:shd w:fill="E8EEF5" w:color="auto" w:val="clear"/>
            <w:tcMar>
              <w:top w:type="dxa" w:w="60"/>
              <w:left w:type="dxa" w:w="100"/>
              <w:bottom w:type="dxa" w:w="60"/>
              <w:right w:type="dxa" w:w="100"/>
            </w:tcMar>
          </w:tcPr>
          <w:p>
            <w:pPr>
              <w:spacing w:after="40"/>
            </w:pPr>
          </w:p>
        </w:tc>
      </w:tr>
      <w:tr>
        <w:tc>
          <w:tcPr>
            <w:tcW w:type="dxa" w:w="1927"/>
            <w:tcMar>
              <w:top w:type="dxa" w:w="60"/>
              <w:left w:type="dxa" w:w="100"/>
              <w:bottom w:type="dxa" w:w="60"/>
              <w:right w:type="dxa" w:w="100"/>
            </w:tcMar>
          </w:tcPr>
          <w:p>
            <w:pPr>
              <w:spacing w:after="40"/>
            </w:pPr>
            <w:r>
              <w:rPr>
                <w:sz w:val="19"/>
                <w:szCs w:val="19"/>
              </w:rPr>
              <w:t xml:space="preserve">Fiabilité</w:t>
            </w:r>
          </w:p>
        </w:tc>
        <w:tc>
          <w:tcPr>
            <w:tcW w:type="dxa" w:w="4819"/>
            <w:tcMar>
              <w:top w:type="dxa" w:w="60"/>
              <w:left w:type="dxa" w:w="100"/>
              <w:bottom w:type="dxa" w:w="60"/>
              <w:right w:type="dxa" w:w="100"/>
            </w:tcMar>
          </w:tcPr>
          <w:p>
            <w:pPr>
              <w:spacing w:after="40"/>
            </w:pPr>
            <w:r>
              <w:rPr>
                <w:sz w:val="19"/>
                <w:szCs w:val="19"/>
              </w:rPr>
              <w:t xml:space="preserve">Les chiffres sont justes ; faits et incertitudes sont distingués.</w:t>
            </w:r>
          </w:p>
        </w:tc>
        <w:tc>
          <w:tcPr>
            <w:tcW w:type="dxa" w:w="1445"/>
            <w:tcMar>
              <w:top w:type="dxa" w:w="60"/>
              <w:left w:type="dxa" w:w="100"/>
              <w:bottom w:type="dxa" w:w="60"/>
              <w:right w:type="dxa" w:w="100"/>
            </w:tcMar>
          </w:tcPr>
          <w:p>
            <w:pPr>
              <w:spacing w:after="40"/>
            </w:pPr>
          </w:p>
        </w:tc>
        <w:tc>
          <w:tcPr>
            <w:tcW w:type="dxa" w:w="1447"/>
            <w:tcMar>
              <w:top w:type="dxa" w:w="60"/>
              <w:left w:type="dxa" w:w="100"/>
              <w:bottom w:type="dxa" w:w="60"/>
              <w:right w:type="dxa" w:w="100"/>
            </w:tcMar>
          </w:tcPr>
          <w:p>
            <w:pPr>
              <w:spacing w:after="40"/>
            </w:pPr>
          </w:p>
        </w:tc>
      </w:tr>
      <w:tr>
        <w:tc>
          <w:tcPr>
            <w:tcW w:type="dxa" w:w="1927"/>
            <w:shd w:fill="E8EEF5" w:color="auto" w:val="clear"/>
            <w:tcMar>
              <w:top w:type="dxa" w:w="60"/>
              <w:left w:type="dxa" w:w="100"/>
              <w:bottom w:type="dxa" w:w="60"/>
              <w:right w:type="dxa" w:w="100"/>
            </w:tcMar>
          </w:tcPr>
          <w:p>
            <w:pPr>
              <w:spacing w:after="40"/>
            </w:pPr>
            <w:r>
              <w:rPr>
                <w:sz w:val="19"/>
                <w:szCs w:val="19"/>
              </w:rPr>
              <w:t xml:space="preserve">Structure</w:t>
            </w:r>
          </w:p>
        </w:tc>
        <w:tc>
          <w:tcPr>
            <w:tcW w:type="dxa" w:w="4819"/>
            <w:shd w:fill="E8EEF5" w:color="auto" w:val="clear"/>
            <w:tcMar>
              <w:top w:type="dxa" w:w="60"/>
              <w:left w:type="dxa" w:w="100"/>
              <w:bottom w:type="dxa" w:w="60"/>
              <w:right w:type="dxa" w:w="100"/>
            </w:tcMar>
          </w:tcPr>
          <w:p>
            <w:pPr>
              <w:spacing w:after="40"/>
            </w:pPr>
            <w:r>
              <w:rPr>
                <w:sz w:val="19"/>
                <w:szCs w:val="19"/>
              </w:rPr>
              <w:t xml:space="preserve">La recommandation apparaît tôt ; les raisons la soutiennent sans détour.</w:t>
            </w:r>
          </w:p>
        </w:tc>
        <w:tc>
          <w:tcPr>
            <w:tcW w:type="dxa" w:w="1445"/>
            <w:shd w:fill="E8EEF5" w:color="auto" w:val="clear"/>
            <w:tcMar>
              <w:top w:type="dxa" w:w="60"/>
              <w:left w:type="dxa" w:w="100"/>
              <w:bottom w:type="dxa" w:w="60"/>
              <w:right w:type="dxa" w:w="100"/>
            </w:tcMar>
          </w:tcPr>
          <w:p>
            <w:pPr>
              <w:spacing w:after="40"/>
            </w:pPr>
          </w:p>
        </w:tc>
        <w:tc>
          <w:tcPr>
            <w:tcW w:type="dxa" w:w="1447"/>
            <w:shd w:fill="E8EEF5" w:color="auto" w:val="clear"/>
            <w:tcMar>
              <w:top w:type="dxa" w:w="60"/>
              <w:left w:type="dxa" w:w="100"/>
              <w:bottom w:type="dxa" w:w="60"/>
              <w:right w:type="dxa" w:w="100"/>
            </w:tcMar>
          </w:tcPr>
          <w:p>
            <w:pPr>
              <w:spacing w:after="40"/>
            </w:pPr>
          </w:p>
        </w:tc>
      </w:tr>
      <w:tr>
        <w:tc>
          <w:tcPr>
            <w:tcW w:type="dxa" w:w="1927"/>
            <w:tcMar>
              <w:top w:type="dxa" w:w="60"/>
              <w:left w:type="dxa" w:w="100"/>
              <w:bottom w:type="dxa" w:w="60"/>
              <w:right w:type="dxa" w:w="100"/>
            </w:tcMar>
          </w:tcPr>
          <w:p>
            <w:pPr>
              <w:spacing w:after="40"/>
            </w:pPr>
            <w:r>
              <w:rPr>
                <w:sz w:val="19"/>
                <w:szCs w:val="19"/>
              </w:rPr>
              <w:t xml:space="preserve">Expression</w:t>
            </w:r>
          </w:p>
        </w:tc>
        <w:tc>
          <w:tcPr>
            <w:tcW w:type="dxa" w:w="4819"/>
            <w:tcMar>
              <w:top w:type="dxa" w:w="60"/>
              <w:left w:type="dxa" w:w="100"/>
              <w:bottom w:type="dxa" w:w="60"/>
              <w:right w:type="dxa" w:w="100"/>
            </w:tcMar>
          </w:tcPr>
          <w:p>
            <w:pPr>
              <w:spacing w:after="40"/>
            </w:pPr>
            <w:r>
              <w:rPr>
                <w:sz w:val="19"/>
                <w:szCs w:val="19"/>
              </w:rPr>
              <w:t xml:space="preserve">Parole audible, idées séparées, durée respectée ; notes utilisées utilement.</w:t>
            </w:r>
          </w:p>
        </w:tc>
        <w:tc>
          <w:tcPr>
            <w:tcW w:type="dxa" w:w="1445"/>
            <w:tcMar>
              <w:top w:type="dxa" w:w="60"/>
              <w:left w:type="dxa" w:w="100"/>
              <w:bottom w:type="dxa" w:w="60"/>
              <w:right w:type="dxa" w:w="100"/>
            </w:tcMar>
          </w:tcPr>
          <w:p>
            <w:pPr>
              <w:spacing w:after="40"/>
            </w:pPr>
          </w:p>
        </w:tc>
        <w:tc>
          <w:tcPr>
            <w:tcW w:type="dxa" w:w="1447"/>
            <w:tcMar>
              <w:top w:type="dxa" w:w="60"/>
              <w:left w:type="dxa" w:w="100"/>
              <w:bottom w:type="dxa" w:w="60"/>
              <w:right w:type="dxa" w:w="100"/>
            </w:tcMar>
          </w:tcPr>
          <w:p>
            <w:pPr>
              <w:spacing w:after="40"/>
            </w:pPr>
          </w:p>
        </w:tc>
      </w:tr>
      <w:tr>
        <w:tc>
          <w:tcPr>
            <w:tcW w:type="dxa" w:w="1927"/>
            <w:shd w:fill="E8EEF5" w:color="auto" w:val="clear"/>
            <w:tcMar>
              <w:top w:type="dxa" w:w="60"/>
              <w:left w:type="dxa" w:w="100"/>
              <w:bottom w:type="dxa" w:w="60"/>
              <w:right w:type="dxa" w:w="100"/>
            </w:tcMar>
          </w:tcPr>
          <w:p>
            <w:pPr>
              <w:spacing w:after="40"/>
            </w:pPr>
            <w:r>
              <w:rPr>
                <w:sz w:val="19"/>
                <w:szCs w:val="19"/>
              </w:rPr>
              <w:t xml:space="preserve">Réponse</w:t>
            </w:r>
          </w:p>
        </w:tc>
        <w:tc>
          <w:tcPr>
            <w:tcW w:type="dxa" w:w="4819"/>
            <w:shd w:fill="E8EEF5" w:color="auto" w:val="clear"/>
            <w:tcMar>
              <w:top w:type="dxa" w:w="60"/>
              <w:left w:type="dxa" w:w="100"/>
              <w:bottom w:type="dxa" w:w="60"/>
              <w:right w:type="dxa" w:w="100"/>
            </w:tcMar>
          </w:tcPr>
          <w:p>
            <w:pPr>
              <w:spacing w:after="40"/>
            </w:pPr>
            <w:r>
              <w:rPr>
                <w:sz w:val="19"/>
                <w:szCs w:val="19"/>
              </w:rPr>
              <w:t xml:space="preserve">Répond à la question, admet une limite et propose la suite si nécessaire.</w:t>
            </w:r>
          </w:p>
        </w:tc>
        <w:tc>
          <w:tcPr>
            <w:tcW w:type="dxa" w:w="1445"/>
            <w:shd w:fill="E8EEF5" w:color="auto" w:val="clear"/>
            <w:tcMar>
              <w:top w:type="dxa" w:w="60"/>
              <w:left w:type="dxa" w:w="100"/>
              <w:bottom w:type="dxa" w:w="60"/>
              <w:right w:type="dxa" w:w="100"/>
            </w:tcMar>
          </w:tcPr>
          <w:p>
            <w:pPr>
              <w:spacing w:after="40"/>
            </w:pPr>
          </w:p>
        </w:tc>
        <w:tc>
          <w:tcPr>
            <w:tcW w:type="dxa" w:w="1447"/>
            <w:shd w:fill="E8EEF5" w:color="auto" w:val="clear"/>
            <w:tcMar>
              <w:top w:type="dxa" w:w="60"/>
              <w:left w:type="dxa" w:w="100"/>
              <w:bottom w:type="dxa" w:w="60"/>
              <w:right w:type="dxa" w:w="100"/>
            </w:tcMar>
          </w:tcPr>
          <w:p>
            <w:pPr>
              <w:spacing w:after="40"/>
            </w:pPr>
          </w:p>
        </w:tc>
      </w:tr>
    </w:tbl>
    <w:p>
      <w:pPr>
        <w:spacing w:after="120"/>
      </w:pPr>
    </w:p>
    <w:p>
      <w:pPr>
        <w:spacing w:after="120"/>
      </w:pPr>
      <w:r>
        <w:t xml:space="preserve">Codes : </w:t>
      </w:r>
      <w:r>
        <w:rPr>
          <w:b/>
          <w:bCs/>
        </w:rPr>
        <w:t xml:space="preserve">NO</w:t>
      </w:r>
      <w:r>
        <w:t xml:space="preserve"> non observé • </w:t>
      </w:r>
      <w:r>
        <w:rPr>
          <w:b/>
          <w:bCs/>
        </w:rPr>
        <w:t xml:space="preserve">A</w:t>
      </w:r>
      <w:r>
        <w:t xml:space="preserve"> réalisé avec aide • </w:t>
      </w:r>
      <w:r>
        <w:rPr>
          <w:b/>
          <w:bCs/>
        </w:rPr>
        <w:t xml:space="preserve">P</w:t>
      </w:r>
      <w:r>
        <w:t xml:space="preserve"> partiellement réalisé seul • </w:t>
      </w:r>
      <w:r>
        <w:rPr>
          <w:b/>
          <w:bCs/>
        </w:rPr>
        <w:t xml:space="preserve">R</w:t>
      </w:r>
      <w:r>
        <w:t xml:space="preserve"> réalisé seul dans cet exercice. Ne pas additionner les codes ni les convertir en note.</w:t>
      </w:r>
    </w:p>
    <w:p>
      <w:pPr>
        <w:spacing w:after="120"/>
      </w:pPr>
      <w:r>
        <w:t xml:space="preserve">Usage : A1 décision et fiabilité • A4 décision, structure, fiabilité • A5 décision et expression • A6 adaptation et réponse • A7 ensemble de la grille. Les traces alimentent la grille de participation (document R4).</w:t>
      </w:r>
    </w:p>
    <w:p>
      <w:pPr>
        <w:pStyle w:val="Heading1"/>
      </w:pPr>
      <w:r>
        <w:t xml:space="preserve">Organisation et repli</w:t>
      </w:r>
    </w:p>
    <w:p>
      <w:pPr>
        <w:pStyle w:val="ListParagraph"/>
        <w:numPr>
          <w:ilvl w:val="0"/>
          <w:numId w:val="2"/>
        </w:numPr>
        <w:spacing w:after="60"/>
      </w:pPr>
      <w:r>
        <w:rPr>
          <w:b/>
          <w:bCs/>
        </w:rPr>
        <w:t xml:space="preserve">Effectif :</w:t>
      </w:r>
      <w:r>
        <w:t xml:space="preserve"> sept = binômes pour l’écrit, un trinôme et un groupe de quatre pour A5 à A7 ; au-delà, groupes de 3 ou 4 dès le début ; très petit groupe, le formateur joue le décideur.</w:t>
      </w:r>
    </w:p>
    <w:p>
      <w:pPr>
        <w:pStyle w:val="ListParagraph"/>
        <w:numPr>
          <w:ilvl w:val="0"/>
          <w:numId w:val="2"/>
        </w:numPr>
        <w:spacing w:after="60"/>
      </w:pPr>
      <w:r>
        <w:rPr>
          <w:b/>
          <w:bCs/>
        </w:rPr>
        <w:t xml:space="preserve">Sérénité sans baisser l’exigence :</w:t>
      </w:r>
      <w:r>
        <w:t xml:space="preserve"> démontrer avant de demander ; carte de mots-clés ; temps de préparation ; une seule priorité de feedback par essai ; pas d’enregistrement vidéo imposé.</w:t>
      </w:r>
    </w:p>
    <w:p>
      <w:pPr>
        <w:pStyle w:val="ListParagraph"/>
        <w:numPr>
          <w:ilvl w:val="0"/>
          <w:numId w:val="2"/>
        </w:numPr>
        <w:spacing w:after="60"/>
      </w:pPr>
      <w:r>
        <w:rPr>
          <w:b/>
          <w:bCs/>
        </w:rPr>
        <w:t xml:space="preserve">IA :</w:t>
      </w:r>
      <w:r>
        <w:t xml:space="preserve"> rédaction initiale en salle sans IA générative ; correction orthographique possible après l’essai.</w:t>
      </w:r>
    </w:p>
    <w:p>
      <w:pPr>
        <w:pStyle w:val="ListParagraph"/>
        <w:numPr>
          <w:ilvl w:val="0"/>
          <w:numId w:val="2"/>
        </w:numPr>
        <w:spacing w:after="60"/>
      </w:pPr>
      <w:r>
        <w:rPr>
          <w:b/>
          <w:bCs/>
        </w:rPr>
        <w:t xml:space="preserve">Absents du 25/09 :</w:t>
      </w:r>
      <w:r>
        <w:t xml:space="preserve"> fiche ERP et aide-mémoire pour travailler en salle ; toute obligation de rattrapage dépend d’EPITA.</w:t>
      </w:r>
    </w:p>
    <w:p>
      <w:pPr>
        <w:pStyle w:val="ListParagraph"/>
        <w:numPr>
          <w:ilvl w:val="0"/>
          <w:numId w:val="2"/>
        </w:numPr>
        <w:spacing w:after="60"/>
      </w:pPr>
      <w:r>
        <w:rPr>
          <w:b/>
          <w:bCs/>
        </w:rPr>
        <w:t xml:space="preserve">Confidentialité :</w:t>
      </w:r>
      <w:r>
        <w:t xml:space="preserve"> réponses étudiantes et corrigés restent dans le dossier formateur.</w:t>
      </w:r>
    </w:p>
    <w:p>
      <w:pPr>
        <w:pStyle w:val="Heading1"/>
      </w:pPr>
      <w:r>
        <w:t xml:space="preserve">Références</w:t>
      </w:r>
    </w:p>
    <w:p>
      <w:pPr>
        <w:spacing w:after="120"/>
      </w:pPr>
      <w:r>
        <w:t xml:space="preserve">Minto, B. (1996). </w:t>
      </w:r>
      <w:r>
        <w:rPr>
          <w:i/>
          <w:iCs/>
        </w:rPr>
        <w:t xml:space="preserve">The Minto Pyramid Principle</w:t>
      </w:r>
      <w:r>
        <w:t xml:space="preserve"> — organisation des idées et restitution. • NCSC, </w:t>
      </w:r>
      <w:r>
        <w:rPr>
          <w:i/>
          <w:iCs/>
        </w:rPr>
        <w:t xml:space="preserve">Engaging with Boards to improve the management of cyber security risk</w:t>
      </w:r>
      <w:r>
        <w:t xml:space="preserve"> — relier le risque cyber aux préoccupations des dirigeants. • Hattie, J., &amp; Timperley, H. (2007). </w:t>
      </w:r>
      <w:r>
        <w:rPr>
          <w:i/>
          <w:iCs/>
        </w:rPr>
        <w:t xml:space="preserve">The Power of Feedback</w:t>
      </w:r>
      <w:r>
        <w:t xml:space="preserve">. Cas ERP et ALTA, minutages et critères : créations pédagogiques du module.</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888888"/>
        <w:sz w:val="16"/>
        <w:szCs w:val="16"/>
      </w:rPr>
      <w:t xml:space="preserve">FORMATION &amp; CONSEIL | Nizam BOURHANI · COEXCL · Guide formateur — 16 octobre 2026 · page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20"/>
      <w:outlineLvl w:val="0"/>
    </w:pPr>
    <w:rPr>
      <w:b/>
      <w:bCs/>
      <w:color w:val="1F3A5F"/>
      <w:sz w:val="30"/>
      <w:szCs w:val="30"/>
    </w:rPr>
  </w:style>
  <w:style w:type="paragraph" w:styleId="Heading2">
    <w:name w:val="Heading 2"/>
    <w:basedOn w:val="Normal"/>
    <w:next w:val="Normal"/>
    <w:qFormat/>
    <w:pPr>
      <w:spacing w:after="100" w:before="240"/>
      <w:outlineLvl w:val="1"/>
    </w:pPr>
    <w:rPr>
      <w:b/>
      <w:bCs/>
      <w:color w:val="1F3A5F"/>
      <w:sz w:val="25"/>
      <w:szCs w:val="25"/>
    </w:rPr>
  </w:style>
  <w:style w:type="paragraph" w:styleId="Heading3">
    <w:name w:val="Heading 3"/>
    <w:basedOn w:val="Normal"/>
    <w:next w:val="Normal"/>
    <w:qFormat/>
    <w:pPr>
      <w:spacing w:after="80" w:before="180"/>
      <w:outlineLvl w:val="2"/>
    </w:pPr>
    <w:rPr>
      <w:b/>
      <w:b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formateur — 16 octobre 2026</dc:title>
  <dc:creator>Nizam BOURHANI</dc:creator>
  <cp:lastModifiedBy>Un-named</cp:lastModifiedBy>
  <cp:revision>1</cp:revision>
  <dcterms:created xsi:type="dcterms:W3CDTF">2026-10-09T07:57:34.543Z</dcterms:created>
  <dcterms:modified xsi:type="dcterms:W3CDTF">2026-10-09T07:57:34.552Z</dcterms:modified>
</cp:coreProperties>
</file>

<file path=docProps/custom.xml><?xml version="1.0" encoding="utf-8"?>
<Properties xmlns="http://schemas.openxmlformats.org/officeDocument/2006/custom-properties" xmlns:vt="http://schemas.openxmlformats.org/officeDocument/2006/docPropsVTypes"/>
</file>