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FC8" w:rsidRPr="00646FC8" w:rsidRDefault="00646FC8" w:rsidP="00D722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40"/>
          <w:szCs w:val="40"/>
          <w:u w:val="single"/>
          <w:lang w:val="en-KE"/>
        </w:rPr>
      </w:pPr>
      <w:r>
        <w:rPr>
          <w:rFonts w:asciiTheme="majorHAnsi" w:eastAsia="Times New Roman" w:hAnsiTheme="majorHAnsi" w:cstheme="majorHAnsi"/>
          <w:b/>
          <w:sz w:val="40"/>
          <w:szCs w:val="40"/>
          <w:u w:val="single"/>
          <w:lang w:val="en-KE"/>
        </w:rPr>
        <w:t>BANKING ENTERPRISE DECISION METRICS AND KPIs</w:t>
      </w:r>
    </w:p>
    <w:p w:rsidR="00D72253" w:rsidRPr="00D72253" w:rsidRDefault="00D72253" w:rsidP="00D722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sz w:val="24"/>
          <w:szCs w:val="24"/>
        </w:rPr>
        <w:t>This report analyzes key enterprise decision metrics and Key Performance Indicators (KPIs) derived from the provided banking dataset. The objective is to support data-driven decision making in customer acquisition, marketing, financial risk evaluation, segmentation, product performance, and operational optimization.</w:t>
      </w:r>
    </w:p>
    <w:p w:rsidR="00D72253" w:rsidRPr="00D72253" w:rsidRDefault="00D72253" w:rsidP="00D7225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Key Enterprise Decision </w:t>
      </w:r>
      <w:r>
        <w:rPr>
          <w:rFonts w:asciiTheme="majorHAnsi" w:eastAsia="Times New Roman" w:hAnsiTheme="majorHAnsi" w:cstheme="majorHAnsi"/>
          <w:b/>
          <w:bCs/>
          <w:sz w:val="36"/>
          <w:szCs w:val="36"/>
          <w:lang w:val="en-KE"/>
        </w:rPr>
        <w:t>Metrics</w:t>
      </w:r>
      <w:r w:rsidRPr="00D72253"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&amp; KPIs</w:t>
      </w:r>
    </w:p>
    <w:p w:rsidR="00D72253" w:rsidRDefault="00D72253" w:rsidP="00D72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253" w:rsidRPr="00D72253" w:rsidRDefault="00D72253" w:rsidP="00D7225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7"/>
          <w:szCs w:val="27"/>
        </w:rPr>
        <w:t>Customer Acquisition &amp; Marketing Performance</w:t>
      </w:r>
    </w:p>
    <w:p w:rsidR="00D72253" w:rsidRPr="00D72253" w:rsidRDefault="00D72253" w:rsidP="00D72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Campaign Conversion Rate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Percentage of customers who s</w:t>
      </w:r>
      <w:r w:rsidR="00646FC8">
        <w:rPr>
          <w:rFonts w:asciiTheme="majorHAnsi" w:eastAsia="Times New Roman" w:hAnsiTheme="majorHAnsi" w:cstheme="majorHAnsi"/>
          <w:sz w:val="24"/>
          <w:szCs w:val="24"/>
        </w:rPr>
        <w:t>ubscribed to a term deposit (</w:t>
      </w:r>
      <w:r w:rsidR="00646FC8">
        <w:rPr>
          <w:rFonts w:asciiTheme="majorHAnsi" w:eastAsia="Times New Roman" w:hAnsiTheme="majorHAnsi" w:cstheme="majorHAnsi"/>
          <w:sz w:val="24"/>
          <w:szCs w:val="24"/>
          <w:lang w:val="en-KE"/>
        </w:rPr>
        <w:t>y=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"yes").</w:t>
      </w:r>
      <w:bookmarkStart w:id="0" w:name="_GoBack"/>
      <w:bookmarkEnd w:id="0"/>
    </w:p>
    <w:p w:rsidR="00D72253" w:rsidRPr="00D72253" w:rsidRDefault="00D72253" w:rsidP="00D72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Contact Success Rate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Effectiveness of outreach channe</w:t>
      </w:r>
      <w:r w:rsidR="00646FC8">
        <w:rPr>
          <w:rFonts w:asciiTheme="majorHAnsi" w:eastAsia="Times New Roman" w:hAnsiTheme="majorHAnsi" w:cstheme="majorHAnsi"/>
          <w:sz w:val="24"/>
          <w:szCs w:val="24"/>
        </w:rPr>
        <w:t>ls (cellular, telephone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).</w:t>
      </w:r>
    </w:p>
    <w:p w:rsidR="00D72253" w:rsidRPr="00D72253" w:rsidRDefault="00D72253" w:rsidP="00D72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Call-to-Conversion Ratio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Average number of contacts required for one successful subscription.</w:t>
      </w:r>
    </w:p>
    <w:p w:rsidR="00D72253" w:rsidRPr="00D72253" w:rsidRDefault="00D72253" w:rsidP="00D72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Average Campaign Call Duration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Reflects customer engagement with marketing calls.</w:t>
      </w:r>
    </w:p>
    <w:p w:rsidR="00D72253" w:rsidRDefault="00D72253" w:rsidP="00D72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Channel-Based Conversion Performance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Measures conversion success by communication channel.</w:t>
      </w:r>
    </w:p>
    <w:p w:rsidR="00D72253" w:rsidRPr="00D72253" w:rsidRDefault="00D72253" w:rsidP="00D722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7"/>
          <w:szCs w:val="27"/>
        </w:rPr>
        <w:t>Financial Risk &amp; Customer Value Metrics</w:t>
      </w:r>
    </w:p>
    <w:p w:rsidR="00D72253" w:rsidRPr="00D72253" w:rsidRDefault="00D72253" w:rsidP="00D72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Average Customer Balance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Indicates financially strong customer groups.</w:t>
      </w:r>
    </w:p>
    <w:p w:rsidR="00D72253" w:rsidRPr="00D72253" w:rsidRDefault="00D72253" w:rsidP="00D72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Default Risk Indicator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Proportion of customers marked as "default = yes".</w:t>
      </w:r>
    </w:p>
    <w:p w:rsidR="00D72253" w:rsidRPr="00D72253" w:rsidRDefault="00D72253" w:rsidP="00D72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Customer Value Segmentation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Categorizes customers based on balance levels, job types, marital status, and education.</w:t>
      </w:r>
    </w:p>
    <w:p w:rsidR="00D72253" w:rsidRPr="00D72253" w:rsidRDefault="00D72253" w:rsidP="00D72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Negative Balance Ratio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Identifies financially vulnerable customers.</w:t>
      </w:r>
    </w:p>
    <w:p w:rsidR="00D72253" w:rsidRDefault="00D72253" w:rsidP="00D72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Loan Uptake Metrics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Tracks the number of customers with housing and personal loans.</w:t>
      </w:r>
    </w:p>
    <w:p w:rsidR="00D72253" w:rsidRPr="00D72253" w:rsidRDefault="00D72253" w:rsidP="00D722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7"/>
          <w:szCs w:val="27"/>
        </w:rPr>
        <w:t>Customer Segmentation &amp; Profiling</w:t>
      </w:r>
    </w:p>
    <w:p w:rsidR="00D72253" w:rsidRPr="00D72253" w:rsidRDefault="00D72253" w:rsidP="00D72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Segment-Based Conversion Rates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Performance by job, education, marital status, and other demographic factors.</w:t>
      </w:r>
    </w:p>
    <w:p w:rsidR="00D72253" w:rsidRPr="00D72253" w:rsidRDefault="00D72253" w:rsidP="00D72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Age-Group Response Patterns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Identifies which age groups are most responsive to term deposit offers.</w:t>
      </w:r>
    </w:p>
    <w:p w:rsidR="00D72253" w:rsidRPr="00D72253" w:rsidRDefault="00D72253" w:rsidP="00D72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Target Customer Identification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Helps refine marketing campaigns toward high-response segments.</w:t>
      </w:r>
    </w:p>
    <w:p w:rsidR="00D72253" w:rsidRDefault="00D72253" w:rsidP="00D72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Occupation-Based Response Trends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Observes behaviors between groups like technicians, management, students, etc.</w:t>
      </w:r>
    </w:p>
    <w:p w:rsidR="00D72253" w:rsidRPr="00D72253" w:rsidRDefault="00D72253" w:rsidP="00D722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7"/>
          <w:szCs w:val="27"/>
        </w:rPr>
        <w:t>Operational Efficiency Metrics</w:t>
      </w:r>
    </w:p>
    <w:p w:rsidR="00D72253" w:rsidRPr="00D72253" w:rsidRDefault="00D72253" w:rsidP="00D72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Contacts Per Customer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Measures communication effort required per prospect.</w:t>
      </w:r>
    </w:p>
    <w:p w:rsidR="00D72253" w:rsidRPr="00D72253" w:rsidRDefault="00D72253" w:rsidP="00D72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Call Duration Efficiency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Evaluates workload in relation to engagement and conversion.</w:t>
      </w:r>
    </w:p>
    <w:p w:rsidR="00D72253" w:rsidRPr="00D72253" w:rsidRDefault="00D72253" w:rsidP="00D72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Cost Per Acquisition (CPA)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Estimates cost needed to acquire a new term deposit subscriber.</w:t>
      </w:r>
    </w:p>
    <w:p w:rsidR="00D72253" w:rsidRPr="00D72253" w:rsidRDefault="00D72253" w:rsidP="00D72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Channel/Agent Productivity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Compares productivity across communication channels or teams.</w:t>
      </w:r>
    </w:p>
    <w:p w:rsidR="00D72253" w:rsidRDefault="00D72253" w:rsidP="00D72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Response Timing Metrics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Analyzes day/month patterns of successful contacts.</w:t>
      </w:r>
    </w:p>
    <w:p w:rsidR="00D72253" w:rsidRPr="00D72253" w:rsidRDefault="00D72253" w:rsidP="00D722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7"/>
          <w:szCs w:val="27"/>
        </w:rPr>
        <w:t>Product Performance Metrics</w:t>
      </w:r>
    </w:p>
    <w:p w:rsidR="00D72253" w:rsidRPr="00D72253" w:rsidRDefault="00D72253" w:rsidP="00D72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Term Deposit Uptake Rate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A primary indicator of product success.</w:t>
      </w:r>
    </w:p>
    <w:p w:rsidR="00D72253" w:rsidRPr="00D72253" w:rsidRDefault="00D72253" w:rsidP="00D72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Subscription Growth Patterns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Tracks how subscription rates vary across campaigns or time periods.</w:t>
      </w:r>
    </w:p>
    <w:p w:rsidR="00D72253" w:rsidRDefault="00D72253" w:rsidP="00D72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Product–Segment Fit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Analyzes which demographic or economic segments respond best to the term deposit product.</w:t>
      </w:r>
    </w:p>
    <w:p w:rsidR="00D72253" w:rsidRPr="00D72253" w:rsidRDefault="00D72253" w:rsidP="00D722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7"/>
          <w:szCs w:val="27"/>
        </w:rPr>
        <w:t>Predictive Modeling &amp; Strategic Insights</w:t>
      </w:r>
    </w:p>
    <w:p w:rsidR="00D72253" w:rsidRPr="00D72253" w:rsidRDefault="00D72253" w:rsidP="00D72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Predictive Drivers of Subscription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Identifies customer features most strongly influencing positive outcomes.</w:t>
      </w:r>
    </w:p>
    <w:p w:rsidR="00D72253" w:rsidRPr="00D72253" w:rsidRDefault="00D72253" w:rsidP="00D72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Model Accuracy Indicators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Useful for evaluating future predictive systems.</w:t>
      </w:r>
    </w:p>
    <w:p w:rsidR="00D72253" w:rsidRPr="00D72253" w:rsidRDefault="00D72253" w:rsidP="00D72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Risk-Adjusted Conversion Rate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Combines risk profile with likelihood of subscription to prioritize high-value customers.</w:t>
      </w:r>
    </w:p>
    <w:p w:rsidR="00D72253" w:rsidRPr="00D72253" w:rsidRDefault="00D72253" w:rsidP="00D72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b/>
          <w:bCs/>
          <w:sz w:val="24"/>
          <w:szCs w:val="24"/>
        </w:rPr>
        <w:t>Engagement Score Modeling</w:t>
      </w:r>
      <w:r w:rsidRPr="00D72253">
        <w:rPr>
          <w:rFonts w:asciiTheme="majorHAnsi" w:eastAsia="Times New Roman" w:hAnsiTheme="majorHAnsi" w:cstheme="majorHAnsi"/>
          <w:sz w:val="24"/>
          <w:szCs w:val="24"/>
        </w:rPr>
        <w:t>: Based on duration, past outcomes, and number of contacts.</w:t>
      </w:r>
    </w:p>
    <w:p w:rsidR="00D72253" w:rsidRPr="00D72253" w:rsidRDefault="00D72253" w:rsidP="00D722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sz w:val="24"/>
          <w:szCs w:val="24"/>
        </w:rPr>
        <w:t>The identified metrics enable the bank to:</w:t>
      </w:r>
    </w:p>
    <w:p w:rsidR="00D72253" w:rsidRPr="00D72253" w:rsidRDefault="00D72253" w:rsidP="00D72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sz w:val="24"/>
          <w:szCs w:val="24"/>
        </w:rPr>
        <w:t>Optimize marketing campaigns using data-driven targeting.</w:t>
      </w:r>
    </w:p>
    <w:p w:rsidR="00D72253" w:rsidRPr="00D72253" w:rsidRDefault="00D72253" w:rsidP="00D72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sz w:val="24"/>
          <w:szCs w:val="24"/>
        </w:rPr>
        <w:t>Improve financial risk assessment for loans and deposits.</w:t>
      </w:r>
    </w:p>
    <w:p w:rsidR="00D72253" w:rsidRPr="00D72253" w:rsidRDefault="00D72253" w:rsidP="00D72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sz w:val="24"/>
          <w:szCs w:val="24"/>
        </w:rPr>
        <w:t>Create more refined customer segments.</w:t>
      </w:r>
    </w:p>
    <w:p w:rsidR="00D72253" w:rsidRPr="00D72253" w:rsidRDefault="00D72253" w:rsidP="00D72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sz w:val="24"/>
          <w:szCs w:val="24"/>
        </w:rPr>
        <w:t>Increase operational efficiency through workload and resource optimization.</w:t>
      </w:r>
    </w:p>
    <w:p w:rsidR="00D72253" w:rsidRPr="00D72253" w:rsidRDefault="00D72253" w:rsidP="00D72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sz w:val="24"/>
          <w:szCs w:val="24"/>
        </w:rPr>
        <w:t>Enhance product performance monitoring to align with customer needs.</w:t>
      </w:r>
    </w:p>
    <w:p w:rsidR="00D72253" w:rsidRPr="00D72253" w:rsidRDefault="00D72253" w:rsidP="00D722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sz w:val="24"/>
          <w:szCs w:val="24"/>
        </w:rPr>
        <w:t>The enterprise decision metrics and KPIs provide a strong foundation for strategic planning. These insights help banks enhance customer acquisition efforts, manage financial risks, improve operational efficiency, and better tailor product offerings to target customer segments.</w:t>
      </w:r>
    </w:p>
    <w:p w:rsidR="00D72253" w:rsidRPr="00D72253" w:rsidRDefault="00D72253" w:rsidP="00D722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72253">
        <w:rPr>
          <w:rFonts w:asciiTheme="majorHAnsi" w:eastAsia="Times New Roman" w:hAnsiTheme="majorHAnsi" w:cstheme="majorHAnsi"/>
          <w:sz w:val="24"/>
          <w:szCs w:val="24"/>
        </w:rPr>
        <w:t>This report serves as a comprehensive analysis to guide decision-making, performance monitoring, and strategic development within banking operations.</w:t>
      </w:r>
    </w:p>
    <w:p w:rsidR="00AE1EA1" w:rsidRPr="00D72253" w:rsidRDefault="00AE1EA1">
      <w:pPr>
        <w:rPr>
          <w:rFonts w:asciiTheme="majorHAnsi" w:hAnsiTheme="majorHAnsi" w:cstheme="majorHAnsi"/>
        </w:rPr>
      </w:pPr>
    </w:p>
    <w:sectPr w:rsidR="00AE1EA1" w:rsidRPr="00D722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32105"/>
    <w:multiLevelType w:val="multilevel"/>
    <w:tmpl w:val="E79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A3090"/>
    <w:multiLevelType w:val="multilevel"/>
    <w:tmpl w:val="7554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543F3"/>
    <w:multiLevelType w:val="multilevel"/>
    <w:tmpl w:val="20F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9694E"/>
    <w:multiLevelType w:val="multilevel"/>
    <w:tmpl w:val="34E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F1088"/>
    <w:multiLevelType w:val="multilevel"/>
    <w:tmpl w:val="AE14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B3A55"/>
    <w:multiLevelType w:val="multilevel"/>
    <w:tmpl w:val="01FE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000FD"/>
    <w:multiLevelType w:val="multilevel"/>
    <w:tmpl w:val="481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253"/>
    <w:rsid w:val="00646FC8"/>
    <w:rsid w:val="00AE1EA1"/>
    <w:rsid w:val="00D72253"/>
    <w:rsid w:val="00F5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91E3"/>
  <w15:chartTrackingRefBased/>
  <w15:docId w15:val="{AE53D712-0E5A-417D-99B9-32BF253B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22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22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22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2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22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225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22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2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2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Mandila</dc:creator>
  <cp:keywords/>
  <dc:description/>
  <cp:lastModifiedBy>Ian Mandila</cp:lastModifiedBy>
  <cp:revision>1</cp:revision>
  <dcterms:created xsi:type="dcterms:W3CDTF">2025-11-23T08:53:00Z</dcterms:created>
  <dcterms:modified xsi:type="dcterms:W3CDTF">2025-11-23T09:21:00Z</dcterms:modified>
</cp:coreProperties>
</file>