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1072"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000000">
      <w:r>
        <w:rPr>
          <w:noProof/>
        </w:rPr>
        <w:pict w14:anchorId="1DE12C80">
          <v:shape id="Forme libre : forme 9" o:spid="_x0000_s1033" style="position:absolute;margin-left:332.1pt;margin-top:-342pt;width:331.5pt;height:1040.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6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45952"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000000">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000000">
      <w:r>
        <w:rPr>
          <w:noProof/>
        </w:rPr>
        <w:pict w14:anchorId="004DD438">
          <v:shape id="_x0000_s1028" type="#_x0000_t202" style="position:absolute;margin-left:-49.65pt;margin-top:16.95pt;width:302.75pt;height:195.25pt;z-index:25165977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000000">
      <w:r>
        <w:rPr>
          <w:noProof/>
        </w:rPr>
        <w:pict w14:anchorId="44D31AC5">
          <v:shape id="_x0000_s1027" type="#_x0000_t202" style="position:absolute;margin-left:0;margin-top:41.75pt;width:546.05pt;height:44.25pt;z-index:251660800;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000000">
      <w:r>
        <w:rPr>
          <w:noProof/>
        </w:rPr>
        <w:pict w14:anchorId="6274FC52">
          <v:shape id="_x0000_s1032" type="#_x0000_t202" style="position:absolute;margin-left:-40pt;margin-top:28.05pt;width:277.95pt;height:41.1pt;z-index:251661824;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000000">
      <w:r>
        <w:rPr>
          <w:noProof/>
        </w:rPr>
        <w:pict w14:anchorId="71B6DAC5">
          <v:shape id="_x0000_s1026" type="#_x0000_t202" style="position:absolute;margin-left:-40.1pt;margin-top:-11.25pt;width:270.2pt;height:119.6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71552" behindDoc="1" locked="0" layoutInCell="1" allowOverlap="1" wp14:anchorId="271CD7C0" wp14:editId="7A561E1B">
            <wp:simplePos x="0" y="0"/>
            <wp:positionH relativeFrom="column">
              <wp:posOffset>1734479</wp:posOffset>
            </wp:positionH>
            <wp:positionV relativeFrom="paragraph">
              <wp:posOffset>1071</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000000">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000000">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000000">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000000">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000000">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000000">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000000">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000000">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000000">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000000">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1"/>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77777777" w:rsidR="000D5760" w:rsidRDefault="000D5760" w:rsidP="00594BAC">
      <w:pPr>
        <w:jc w:val="both"/>
        <w:rPr>
          <w:lang w:eastAsia="fr-FR"/>
        </w:rPr>
      </w:pPr>
      <w:r w:rsidRPr="000D5760">
        <w:rPr>
          <w:lang w:eastAsia="fr-FR"/>
        </w:rPr>
        <w:t>Je tiens à remercier chaleureusement Médéric Descazeaux, Renaud Vignal et Florent Louis, mes tuteurs de stage,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1A2A7F9F" w:rsidR="006A68E7" w:rsidRPr="00037427" w:rsidRDefault="006A68E7" w:rsidP="008F40D7">
      <w:pPr>
        <w:pStyle w:val="Titre1"/>
      </w:pPr>
      <w:bookmarkStart w:id="2" w:name="_Toc191556789"/>
      <w:r w:rsidRPr="00037427">
        <w:lastRenderedPageBreak/>
        <w:t>Synthèse de l'état de l'art</w:t>
      </w:r>
      <w:bookmarkEnd w:id="2"/>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9E05A7F"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996B23">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3"/>
                    <a:stretch>
                      <a:fillRect/>
                    </a:stretch>
                  </pic:blipFill>
                  <pic:spPr>
                    <a:xfrm>
                      <a:off x="0" y="0"/>
                      <a:ext cx="5791200" cy="2997200"/>
                    </a:xfrm>
                    <a:prstGeom prst="rect">
                      <a:avLst/>
                    </a:prstGeom>
                  </pic:spPr>
                </pic:pic>
              </a:graphicData>
            </a:graphic>
          </wp:inline>
        </w:drawing>
      </w:r>
    </w:p>
    <w:p w14:paraId="377CC1E8" w14:textId="3FE9E0C3"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996B23">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994" cy="2760321"/>
                    </a:xfrm>
                    <a:prstGeom prst="rect">
                      <a:avLst/>
                    </a:prstGeom>
                  </pic:spPr>
                </pic:pic>
              </a:graphicData>
            </a:graphic>
          </wp:inline>
        </w:drawing>
      </w:r>
    </w:p>
    <w:p w14:paraId="23670F2E" w14:textId="69A8DF3A"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996B23">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0729FC02" w14:textId="26C99C99" w:rsidR="0015755C" w:rsidRDefault="006A68E7" w:rsidP="00D32AFA">
      <w:pPr>
        <w:pStyle w:val="NormalWeb"/>
        <w:jc w:val="both"/>
        <w:rPr>
          <w14:ligatures w14:val="none"/>
        </w:rPr>
      </w:pPr>
      <w:r w:rsidRPr="006A68E7">
        <w:rPr>
          <w14:ligatures w14:val="none"/>
        </w:rPr>
        <w:lastRenderedPageBreak/>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3864FB86" w14:textId="77777777" w:rsidR="0015755C" w:rsidRDefault="0015755C" w:rsidP="0015755C">
      <w:pPr>
        <w:pStyle w:val="NormalWeb"/>
        <w:keepNext/>
        <w:jc w:val="center"/>
      </w:pPr>
      <w:r>
        <w:rPr>
          <w:noProof/>
        </w:rPr>
        <w:drawing>
          <wp:inline distT="0" distB="0" distL="0" distR="0" wp14:anchorId="4D4FB0B0" wp14:editId="4C3E9A66">
            <wp:extent cx="5273749" cy="5219700"/>
            <wp:effectExtent l="0" t="0" r="0" b="0"/>
            <wp:docPr id="16441363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3692" t="10816" r="4723" b="2114"/>
                    <a:stretch/>
                  </pic:blipFill>
                  <pic:spPr bwMode="auto">
                    <a:xfrm>
                      <a:off x="0" y="0"/>
                      <a:ext cx="5279008" cy="5224905"/>
                    </a:xfrm>
                    <a:prstGeom prst="rect">
                      <a:avLst/>
                    </a:prstGeom>
                    <a:noFill/>
                    <a:ln>
                      <a:noFill/>
                    </a:ln>
                    <a:extLst>
                      <a:ext uri="{53640926-AAD7-44D8-BBD7-CCE9431645EC}">
                        <a14:shadowObscured xmlns:a14="http://schemas.microsoft.com/office/drawing/2010/main"/>
                      </a:ext>
                    </a:extLst>
                  </pic:spPr>
                </pic:pic>
              </a:graphicData>
            </a:graphic>
          </wp:inline>
        </w:drawing>
      </w:r>
    </w:p>
    <w:p w14:paraId="75AB0F97" w14:textId="45A02185" w:rsidR="0015755C" w:rsidRPr="00922D11" w:rsidRDefault="0015755C" w:rsidP="0015755C">
      <w:pPr>
        <w:pStyle w:val="Lgende"/>
        <w:jc w:val="center"/>
        <w:rPr>
          <w14:ligatures w14:val="none"/>
        </w:rPr>
      </w:pPr>
      <w:bookmarkStart w:id="6" w:name="_Toc193878096"/>
      <w:r>
        <w:t xml:space="preserve">Figure </w:t>
      </w:r>
      <w:r>
        <w:fldChar w:fldCharType="begin"/>
      </w:r>
      <w:r>
        <w:instrText xml:space="preserve"> SEQ Figure \* ARABIC </w:instrText>
      </w:r>
      <w:r>
        <w:fldChar w:fldCharType="separate"/>
      </w:r>
      <w:r w:rsidR="00996B23">
        <w:rPr>
          <w:noProof/>
        </w:rPr>
        <w:t>4</w:t>
      </w:r>
      <w:r>
        <w:fldChar w:fldCharType="end"/>
      </w:r>
      <w:r>
        <w:t xml:space="preserve"> : </w:t>
      </w:r>
      <w:r w:rsidRPr="00880AA9">
        <w:t xml:space="preserve">Comparatif issu du livre blanc "Intelligence Artificielle : restez maitre de votre futur" réalisé par Business &amp; </w:t>
      </w:r>
      <w:proofErr w:type="spellStart"/>
      <w:r w:rsidRPr="00880AA9">
        <w:t>Decision</w:t>
      </w:r>
      <w:proofErr w:type="spellEnd"/>
      <w:r w:rsidRPr="00880AA9">
        <w:t xml:space="preserve"> (groupe Orange). © Business &amp; </w:t>
      </w:r>
      <w:proofErr w:type="spellStart"/>
      <w:r w:rsidRPr="00880AA9">
        <w:t>Decision</w:t>
      </w:r>
      <w:bookmarkEnd w:id="6"/>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lastRenderedPageBreak/>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globale sur les chaînes d'approvisionnement et les prévisions de marché solaire. Pour compléter cette approche, ABC Bourse est particulièrement utile pour le suivi des taux de 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16"/>
                    <a:stretch>
                      <a:fillRect/>
                    </a:stretch>
                  </pic:blipFill>
                  <pic:spPr>
                    <a:xfrm>
                      <a:off x="0" y="0"/>
                      <a:ext cx="5760720" cy="3244850"/>
                    </a:xfrm>
                    <a:prstGeom prst="rect">
                      <a:avLst/>
                    </a:prstGeom>
                  </pic:spPr>
                </pic:pic>
              </a:graphicData>
            </a:graphic>
          </wp:inline>
        </w:drawing>
      </w:r>
    </w:p>
    <w:p w14:paraId="448C692F" w14:textId="77748124" w:rsidR="00E32C52" w:rsidRDefault="00996B23" w:rsidP="00996B23">
      <w:pPr>
        <w:pStyle w:val="Lgende"/>
        <w:jc w:val="center"/>
      </w:pPr>
      <w:bookmarkStart w:id="7" w:name="_Toc193878097"/>
      <w:r>
        <w:t xml:space="preserve">Figure </w:t>
      </w:r>
      <w:r>
        <w:fldChar w:fldCharType="begin"/>
      </w:r>
      <w:r>
        <w:instrText xml:space="preserve"> SEQ Figure \* ARABIC </w:instrText>
      </w:r>
      <w:r>
        <w:fldChar w:fldCharType="separate"/>
      </w:r>
      <w:r>
        <w:rPr>
          <w:noProof/>
        </w:rPr>
        <w:t>5</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7"/>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7947E2CB" w14:textId="77777777" w:rsidR="004210D8" w:rsidRDefault="004210D8" w:rsidP="004210D8">
      <w:pPr>
        <w:pStyle w:val="Titre1"/>
        <w:rPr>
          <w:sz w:val="27"/>
        </w:rPr>
      </w:pPr>
      <w:bookmarkStart w:id="8" w:name="_Toc191556791"/>
      <w:r>
        <w:rPr>
          <w:rStyle w:val="lev"/>
          <w:b/>
          <w:bCs w:val="0"/>
        </w:rPr>
        <w:t>Hypothèses de Recherche</w:t>
      </w:r>
      <w:bookmarkEnd w:id="8"/>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9" w:name="_Toc191556792"/>
      <w:r>
        <w:rPr>
          <w:rStyle w:val="lev"/>
          <w:b/>
          <w:bCs w:val="0"/>
        </w:rPr>
        <w:t>Projet de Méthodologie</w:t>
      </w:r>
      <w:bookmarkEnd w:id="9"/>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10" w:name="_Toc191556793"/>
      <w:r w:rsidRPr="004210D8">
        <w:rPr>
          <w:rStyle w:val="lev"/>
          <w:b/>
          <w:bCs/>
        </w:rPr>
        <w:t>1. Analyse des Facteurs Clés et Collecte de Données</w:t>
      </w:r>
      <w:bookmarkEnd w:id="10"/>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1" w:name="_Toc191556794"/>
      <w:r w:rsidRPr="004210D8">
        <w:rPr>
          <w:rStyle w:val="lev"/>
          <w:b/>
          <w:bCs/>
        </w:rPr>
        <w:lastRenderedPageBreak/>
        <w:t>2. Développement de Modèles Prédictifs</w:t>
      </w:r>
      <w:bookmarkEnd w:id="11"/>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2" w:name="_Toc191556795"/>
      <w:r w:rsidRPr="004210D8">
        <w:rPr>
          <w:rStyle w:val="lev"/>
          <w:b/>
          <w:bCs/>
        </w:rPr>
        <w:t>3. Intégration des Prévisions avec l'Optimisation Logistique</w:t>
      </w:r>
      <w:bookmarkEnd w:id="12"/>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lastRenderedPageBreak/>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3" w:name="_Toc191556796"/>
      <w:r>
        <w:rPr>
          <w:lang w:val="en-US"/>
        </w:rPr>
        <w:t xml:space="preserve">Table des </w:t>
      </w:r>
      <w:r w:rsidR="00AA44A1">
        <w:rPr>
          <w:lang w:val="en-US"/>
        </w:rPr>
        <w:t>Figures</w:t>
      </w:r>
      <w:bookmarkEnd w:id="13"/>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996B23">
      <w:pPr>
        <w:pStyle w:val="Tabledesillustrations"/>
        <w:tabs>
          <w:tab w:val="right" w:leader="underscore" w:pos="9062"/>
        </w:tabs>
        <w:rPr>
          <w:sz w:val="22"/>
          <w:szCs w:val="20"/>
        </w:rPr>
      </w:pPr>
      <w:hyperlink w:anchor="_Toc193878094" w:history="1">
        <w:r w:rsidRPr="00996B23">
          <w:rPr>
            <w:sz w:val="22"/>
            <w:szCs w:val="20"/>
          </w:rPr>
          <w:t>Figure 2: Évolution des Prix du Polysilicium (Sources : bernreuter)</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_Toc193878094 \h </w:instrText>
        </w:r>
        <w:r w:rsidRPr="00996B23">
          <w:rPr>
            <w:webHidden/>
            <w:sz w:val="22"/>
            <w:szCs w:val="20"/>
          </w:rPr>
        </w:r>
        <w:r w:rsidRPr="00996B23">
          <w:rPr>
            <w:webHidden/>
            <w:sz w:val="22"/>
            <w:szCs w:val="20"/>
          </w:rPr>
          <w:fldChar w:fldCharType="separate"/>
        </w:r>
        <w:r w:rsidRPr="00996B23">
          <w:rPr>
            <w:webHidden/>
            <w:sz w:val="22"/>
            <w:szCs w:val="20"/>
          </w:rPr>
          <w:t>6</w:t>
        </w:r>
        <w:r w:rsidRPr="00996B23">
          <w:rPr>
            <w:webHidden/>
            <w:sz w:val="22"/>
            <w:szCs w:val="20"/>
          </w:rPr>
          <w:fldChar w:fldCharType="end"/>
        </w:r>
      </w:hyperlink>
    </w:p>
    <w:p w14:paraId="66D577EE" w14:textId="0B8DD044" w:rsidR="00996B23" w:rsidRPr="00996B23" w:rsidRDefault="00996B23">
      <w:pPr>
        <w:pStyle w:val="Tabledesillustrations"/>
        <w:tabs>
          <w:tab w:val="right" w:leader="underscore" w:pos="9062"/>
        </w:tabs>
        <w:rPr>
          <w:sz w:val="22"/>
          <w:szCs w:val="20"/>
        </w:rPr>
      </w:pPr>
      <w:hyperlink w:anchor="_Toc193878095" w:history="1">
        <w:r w:rsidRPr="00996B23">
          <w:rPr>
            <w:sz w:val="22"/>
            <w:szCs w:val="20"/>
          </w:rPr>
          <w:t>Figure 3 : Répartition géographique de la capacité de production pour les principales étapes de la chaîne de valeur photovoltaïque, 2022                                                                                                                                                                                  (Sources : Becquerel Institute)</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_Toc193878095 \h </w:instrText>
        </w:r>
        <w:r w:rsidRPr="00996B23">
          <w:rPr>
            <w:webHidden/>
            <w:sz w:val="22"/>
            <w:szCs w:val="20"/>
          </w:rPr>
        </w:r>
        <w:r w:rsidRPr="00996B23">
          <w:rPr>
            <w:webHidden/>
            <w:sz w:val="22"/>
            <w:szCs w:val="20"/>
          </w:rPr>
          <w:fldChar w:fldCharType="separate"/>
        </w:r>
        <w:r w:rsidRPr="00996B23">
          <w:rPr>
            <w:webHidden/>
            <w:sz w:val="22"/>
            <w:szCs w:val="20"/>
          </w:rPr>
          <w:t>6</w:t>
        </w:r>
        <w:r w:rsidRPr="00996B23">
          <w:rPr>
            <w:webHidden/>
            <w:sz w:val="22"/>
            <w:szCs w:val="20"/>
          </w:rPr>
          <w:fldChar w:fldCharType="end"/>
        </w:r>
      </w:hyperlink>
    </w:p>
    <w:p w14:paraId="2666E3B8" w14:textId="3B28C8EF" w:rsidR="00996B23" w:rsidRPr="00996B23" w:rsidRDefault="00996B23">
      <w:pPr>
        <w:pStyle w:val="Tabledesillustrations"/>
        <w:tabs>
          <w:tab w:val="right" w:leader="underscore" w:pos="9062"/>
        </w:tabs>
        <w:rPr>
          <w:sz w:val="22"/>
          <w:szCs w:val="20"/>
        </w:rPr>
      </w:pPr>
      <w:hyperlink w:anchor="_Toc193878096" w:history="1">
        <w:r w:rsidRPr="00996B23">
          <w:rPr>
            <w:sz w:val="22"/>
            <w:szCs w:val="20"/>
          </w:rPr>
          <w:t>Figure 4 : Comparatif issu du livre blanc "Intelligence Artificielle : restez maitre de votre futur" réalisé par Business &amp; Decision (groupe Orange). © Business &amp; Decision</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_Toc193878096 \h </w:instrText>
        </w:r>
        <w:r w:rsidRPr="00996B23">
          <w:rPr>
            <w:webHidden/>
            <w:sz w:val="22"/>
            <w:szCs w:val="20"/>
          </w:rPr>
        </w:r>
        <w:r w:rsidRPr="00996B23">
          <w:rPr>
            <w:webHidden/>
            <w:sz w:val="22"/>
            <w:szCs w:val="20"/>
          </w:rPr>
          <w:fldChar w:fldCharType="separate"/>
        </w:r>
        <w:r w:rsidRPr="00996B23">
          <w:rPr>
            <w:webHidden/>
            <w:sz w:val="22"/>
            <w:szCs w:val="20"/>
          </w:rPr>
          <w:t>7</w:t>
        </w:r>
        <w:r w:rsidRPr="00996B23">
          <w:rPr>
            <w:webHidden/>
            <w:sz w:val="22"/>
            <w:szCs w:val="20"/>
          </w:rPr>
          <w:fldChar w:fldCharType="end"/>
        </w:r>
      </w:hyperlink>
    </w:p>
    <w:p w14:paraId="543ABFCB" w14:textId="74FC56FB" w:rsidR="00996B23" w:rsidRPr="00996B23" w:rsidRDefault="00996B23">
      <w:pPr>
        <w:pStyle w:val="Tabledesillustrations"/>
        <w:tabs>
          <w:tab w:val="right" w:leader="underscore" w:pos="9062"/>
        </w:tabs>
        <w:rPr>
          <w:sz w:val="22"/>
          <w:szCs w:val="20"/>
        </w:rPr>
      </w:pPr>
      <w:hyperlink w:anchor="_Toc193878097" w:history="1">
        <w:r w:rsidRPr="00996B23">
          <w:rPr>
            <w:sz w:val="22"/>
            <w:szCs w:val="20"/>
          </w:rPr>
          <w:t>Figure 5: Structure d'une Cellule Solaire TOPCon à Base de Silicium Monocristallin de Type N</w:t>
        </w:r>
        <w:r w:rsidRPr="00996B23">
          <w:rPr>
            <w:webHidden/>
            <w:sz w:val="22"/>
            <w:szCs w:val="20"/>
          </w:rPr>
          <w:tab/>
        </w:r>
        <w:r w:rsidRPr="00996B23">
          <w:rPr>
            <w:webHidden/>
            <w:sz w:val="22"/>
            <w:szCs w:val="20"/>
          </w:rPr>
          <w:fldChar w:fldCharType="begin"/>
        </w:r>
        <w:r w:rsidRPr="00996B23">
          <w:rPr>
            <w:webHidden/>
            <w:sz w:val="22"/>
            <w:szCs w:val="20"/>
          </w:rPr>
          <w:instrText xml:space="preserve"> PAGEREF _Toc193878097 \h </w:instrText>
        </w:r>
        <w:r w:rsidRPr="00996B23">
          <w:rPr>
            <w:webHidden/>
            <w:sz w:val="22"/>
            <w:szCs w:val="20"/>
          </w:rPr>
        </w:r>
        <w:r w:rsidRPr="00996B23">
          <w:rPr>
            <w:webHidden/>
            <w:sz w:val="22"/>
            <w:szCs w:val="20"/>
          </w:rPr>
          <w:fldChar w:fldCharType="separate"/>
        </w:r>
        <w:r w:rsidRPr="00996B23">
          <w:rPr>
            <w:webHidden/>
            <w:sz w:val="22"/>
            <w:szCs w:val="20"/>
          </w:rPr>
          <w:t>9</w:t>
        </w:r>
        <w:r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000000">
      <w:pPr>
        <w:pStyle w:val="Titre1"/>
        <w:rPr>
          <w:lang w:val="en-US"/>
        </w:rPr>
      </w:pPr>
      <w:bookmarkStart w:id="14" w:name="_Toc191556797"/>
      <w:proofErr w:type="spellStart"/>
      <w:r w:rsidRPr="00700102">
        <w:rPr>
          <w:lang w:val="en-US"/>
        </w:rPr>
        <w:t>Bibliographie</w:t>
      </w:r>
      <w:bookmarkEnd w:id="14"/>
      <w:proofErr w:type="spellEnd"/>
    </w:p>
    <w:p w14:paraId="5A4667D0" w14:textId="0417A952" w:rsidR="001A31F7" w:rsidRDefault="00000000" w:rsidP="00945860">
      <w:r w:rsidRPr="00700102">
        <w:rPr>
          <w:lang w:val="en-US"/>
        </w:rPr>
        <w:br/>
        <w:t>- Becquerel Institute. (2023). Building Resilient Global Solar PV Supply Chains.</w:t>
      </w:r>
      <w:r w:rsidRPr="00700102">
        <w:rPr>
          <w:lang w:val="en-US"/>
        </w:rPr>
        <w:br/>
        <w:t>- IEA PVPS. (2022). Market evolution of the top solar PV 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Articles académiques sur l'application du Machine Learning dans la supply chain.</w:t>
      </w:r>
      <w:r>
        <w:br/>
      </w:r>
    </w:p>
    <w:sectPr w:rsidR="001A31F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F01B" w14:textId="77777777" w:rsidR="008C599B" w:rsidRDefault="008C599B" w:rsidP="00320E88">
      <w:pPr>
        <w:spacing w:after="0" w:line="240" w:lineRule="auto"/>
      </w:pPr>
      <w:r>
        <w:separator/>
      </w:r>
    </w:p>
  </w:endnote>
  <w:endnote w:type="continuationSeparator" w:id="0">
    <w:p w14:paraId="3A8EE969" w14:textId="77777777" w:rsidR="008C599B" w:rsidRDefault="008C599B" w:rsidP="0032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0857" w14:textId="77777777" w:rsidR="008C599B" w:rsidRDefault="008C599B" w:rsidP="00320E88">
      <w:pPr>
        <w:spacing w:after="0" w:line="240" w:lineRule="auto"/>
      </w:pPr>
      <w:r>
        <w:separator/>
      </w:r>
    </w:p>
  </w:footnote>
  <w:footnote w:type="continuationSeparator" w:id="0">
    <w:p w14:paraId="614FE031" w14:textId="77777777" w:rsidR="008C599B" w:rsidRDefault="008C599B" w:rsidP="00320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7"/>
  </w:num>
  <w:num w:numId="2" w16cid:durableId="153954659">
    <w:abstractNumId w:val="24"/>
  </w:num>
  <w:num w:numId="3" w16cid:durableId="2041474166">
    <w:abstractNumId w:val="16"/>
  </w:num>
  <w:num w:numId="4" w16cid:durableId="892275454">
    <w:abstractNumId w:val="28"/>
  </w:num>
  <w:num w:numId="5" w16cid:durableId="1590772331">
    <w:abstractNumId w:val="4"/>
  </w:num>
  <w:num w:numId="6" w16cid:durableId="1477380032">
    <w:abstractNumId w:val="26"/>
  </w:num>
  <w:num w:numId="7" w16cid:durableId="251083279">
    <w:abstractNumId w:val="32"/>
  </w:num>
  <w:num w:numId="8" w16cid:durableId="1868442193">
    <w:abstractNumId w:val="1"/>
  </w:num>
  <w:num w:numId="9" w16cid:durableId="1723485307">
    <w:abstractNumId w:val="13"/>
  </w:num>
  <w:num w:numId="10" w16cid:durableId="1009218094">
    <w:abstractNumId w:val="3"/>
  </w:num>
  <w:num w:numId="11" w16cid:durableId="743843037">
    <w:abstractNumId w:val="31"/>
  </w:num>
  <w:num w:numId="12" w16cid:durableId="1265189981">
    <w:abstractNumId w:val="21"/>
  </w:num>
  <w:num w:numId="13" w16cid:durableId="1651011279">
    <w:abstractNumId w:val="18"/>
  </w:num>
  <w:num w:numId="14" w16cid:durableId="1909269191">
    <w:abstractNumId w:val="10"/>
  </w:num>
  <w:num w:numId="15" w16cid:durableId="1548057387">
    <w:abstractNumId w:val="23"/>
  </w:num>
  <w:num w:numId="16" w16cid:durableId="1002198422">
    <w:abstractNumId w:val="30"/>
  </w:num>
  <w:num w:numId="17" w16cid:durableId="592592554">
    <w:abstractNumId w:val="5"/>
  </w:num>
  <w:num w:numId="18" w16cid:durableId="1985156647">
    <w:abstractNumId w:val="12"/>
  </w:num>
  <w:num w:numId="19" w16cid:durableId="1883401638">
    <w:abstractNumId w:val="29"/>
  </w:num>
  <w:num w:numId="20" w16cid:durableId="391975655">
    <w:abstractNumId w:val="15"/>
  </w:num>
  <w:num w:numId="21" w16cid:durableId="2053570976">
    <w:abstractNumId w:val="8"/>
  </w:num>
  <w:num w:numId="22" w16cid:durableId="1172449991">
    <w:abstractNumId w:val="2"/>
  </w:num>
  <w:num w:numId="23" w16cid:durableId="1004282484">
    <w:abstractNumId w:val="11"/>
  </w:num>
  <w:num w:numId="24" w16cid:durableId="1533574787">
    <w:abstractNumId w:val="20"/>
  </w:num>
  <w:num w:numId="25" w16cid:durableId="1824813060">
    <w:abstractNumId w:val="9"/>
  </w:num>
  <w:num w:numId="26" w16cid:durableId="1972400627">
    <w:abstractNumId w:val="25"/>
  </w:num>
  <w:num w:numId="27" w16cid:durableId="1902709103">
    <w:abstractNumId w:val="17"/>
  </w:num>
  <w:num w:numId="28" w16cid:durableId="1753506167">
    <w:abstractNumId w:val="27"/>
  </w:num>
  <w:num w:numId="29" w16cid:durableId="1584870340">
    <w:abstractNumId w:val="22"/>
  </w:num>
  <w:num w:numId="30" w16cid:durableId="444888476">
    <w:abstractNumId w:val="14"/>
  </w:num>
  <w:num w:numId="31" w16cid:durableId="807019732">
    <w:abstractNumId w:val="6"/>
  </w:num>
  <w:num w:numId="32" w16cid:durableId="348140174">
    <w:abstractNumId w:val="19"/>
  </w:num>
  <w:num w:numId="33" w16cid:durableId="9976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4981"/>
    <w:rsid w:val="00064A53"/>
    <w:rsid w:val="00070AA7"/>
    <w:rsid w:val="00072B60"/>
    <w:rsid w:val="0008635C"/>
    <w:rsid w:val="00095570"/>
    <w:rsid w:val="000D5760"/>
    <w:rsid w:val="0010739C"/>
    <w:rsid w:val="00121C28"/>
    <w:rsid w:val="001307EC"/>
    <w:rsid w:val="001422A2"/>
    <w:rsid w:val="00153190"/>
    <w:rsid w:val="00155329"/>
    <w:rsid w:val="0015755C"/>
    <w:rsid w:val="001600C4"/>
    <w:rsid w:val="001A2BF1"/>
    <w:rsid w:val="001A31F7"/>
    <w:rsid w:val="001A7A9A"/>
    <w:rsid w:val="00246986"/>
    <w:rsid w:val="00272D74"/>
    <w:rsid w:val="002974A0"/>
    <w:rsid w:val="002A3AF4"/>
    <w:rsid w:val="002F61A9"/>
    <w:rsid w:val="00315335"/>
    <w:rsid w:val="00320E88"/>
    <w:rsid w:val="003502B2"/>
    <w:rsid w:val="00353554"/>
    <w:rsid w:val="0036237A"/>
    <w:rsid w:val="00395BAB"/>
    <w:rsid w:val="003B4EDD"/>
    <w:rsid w:val="003E65F9"/>
    <w:rsid w:val="004210D8"/>
    <w:rsid w:val="00467541"/>
    <w:rsid w:val="00473800"/>
    <w:rsid w:val="004C0886"/>
    <w:rsid w:val="004E17EE"/>
    <w:rsid w:val="005077C5"/>
    <w:rsid w:val="005319A6"/>
    <w:rsid w:val="005678B9"/>
    <w:rsid w:val="00577D79"/>
    <w:rsid w:val="00594BAC"/>
    <w:rsid w:val="005F0031"/>
    <w:rsid w:val="00600EBB"/>
    <w:rsid w:val="00694615"/>
    <w:rsid w:val="006966DF"/>
    <w:rsid w:val="006A68E7"/>
    <w:rsid w:val="006B06D7"/>
    <w:rsid w:val="00700102"/>
    <w:rsid w:val="00715661"/>
    <w:rsid w:val="0073465C"/>
    <w:rsid w:val="007375DE"/>
    <w:rsid w:val="00746D47"/>
    <w:rsid w:val="0078347B"/>
    <w:rsid w:val="007F310B"/>
    <w:rsid w:val="00805EF4"/>
    <w:rsid w:val="00816492"/>
    <w:rsid w:val="00824F34"/>
    <w:rsid w:val="00830FF3"/>
    <w:rsid w:val="0083315F"/>
    <w:rsid w:val="00851A8B"/>
    <w:rsid w:val="008C599B"/>
    <w:rsid w:val="008D7DA1"/>
    <w:rsid w:val="008F40D7"/>
    <w:rsid w:val="00922D11"/>
    <w:rsid w:val="00945860"/>
    <w:rsid w:val="0096072F"/>
    <w:rsid w:val="00996B23"/>
    <w:rsid w:val="009D680F"/>
    <w:rsid w:val="009E5071"/>
    <w:rsid w:val="00A04996"/>
    <w:rsid w:val="00A47DE4"/>
    <w:rsid w:val="00A60514"/>
    <w:rsid w:val="00A96BBF"/>
    <w:rsid w:val="00AA44A1"/>
    <w:rsid w:val="00AC3E87"/>
    <w:rsid w:val="00AE3180"/>
    <w:rsid w:val="00B32091"/>
    <w:rsid w:val="00B36695"/>
    <w:rsid w:val="00BA1912"/>
    <w:rsid w:val="00BB71DB"/>
    <w:rsid w:val="00C41B2C"/>
    <w:rsid w:val="00C44139"/>
    <w:rsid w:val="00C44943"/>
    <w:rsid w:val="00C71388"/>
    <w:rsid w:val="00C730E5"/>
    <w:rsid w:val="00C738A2"/>
    <w:rsid w:val="00C85882"/>
    <w:rsid w:val="00CC007B"/>
    <w:rsid w:val="00CC328E"/>
    <w:rsid w:val="00CC45C9"/>
    <w:rsid w:val="00CF61B4"/>
    <w:rsid w:val="00D32AFA"/>
    <w:rsid w:val="00D3695B"/>
    <w:rsid w:val="00D467F5"/>
    <w:rsid w:val="00D87BE6"/>
    <w:rsid w:val="00DF2D5E"/>
    <w:rsid w:val="00DF66D0"/>
    <w:rsid w:val="00E24105"/>
    <w:rsid w:val="00E24576"/>
    <w:rsid w:val="00E32C52"/>
    <w:rsid w:val="00E661C1"/>
    <w:rsid w:val="00E71266"/>
    <w:rsid w:val="00E93C1F"/>
    <w:rsid w:val="00F12894"/>
    <w:rsid w:val="00F227C9"/>
    <w:rsid w:val="00F359D5"/>
    <w:rsid w:val="00F46518"/>
    <w:rsid w:val="00F55F34"/>
    <w:rsid w:val="00F65EAD"/>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2A3AF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itre5">
    <w:name w:val="heading 5"/>
    <w:basedOn w:val="Normal"/>
    <w:next w:val="Normal"/>
    <w:link w:val="Titre5Car"/>
    <w:uiPriority w:val="9"/>
    <w:semiHidden/>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2A3AF4"/>
    <w:rPr>
      <w:rFonts w:asciiTheme="majorHAnsi" w:eastAsiaTheme="majorEastAsia" w:hAnsiTheme="majorHAnsi" w:cstheme="majorBidi"/>
      <w:b/>
      <w:i/>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semiHidden/>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TotalTime>
  <Pages>15</Pages>
  <Words>4518</Words>
  <Characters>24850</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49</cp:revision>
  <cp:lastPrinted>2025-02-27T12:53:00Z</cp:lastPrinted>
  <dcterms:created xsi:type="dcterms:W3CDTF">2025-01-30T14:52:00Z</dcterms:created>
  <dcterms:modified xsi:type="dcterms:W3CDTF">2025-03-26T15:55:00Z</dcterms:modified>
</cp:coreProperties>
</file>