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8241"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000000">
      <w:r>
        <w:rPr>
          <w:noProof/>
        </w:rPr>
        <w:pict w14:anchorId="1DE12C80">
          <v:shape id="Forme libre : forme 9" o:spid="_x0000_s1033" style="position:absolute;margin-left:332.1pt;margin-top:-342pt;width:331.5pt;height:1040.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58240"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000000">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000000">
      <w:r>
        <w:rPr>
          <w:noProof/>
        </w:rPr>
        <w:pict w14:anchorId="004DD438">
          <v:shape id="_x0000_s1028" type="#_x0000_t202" style="position:absolute;margin-left:-49.65pt;margin-top:16.95pt;width:302.75pt;height:195.25pt;z-index:25165824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000000">
      <w:r>
        <w:rPr>
          <w:noProof/>
        </w:rPr>
        <w:pict w14:anchorId="44D31AC5">
          <v:shape id="_x0000_s1027" type="#_x0000_t202" style="position:absolute;margin-left:0;margin-top:41.75pt;width:546.05pt;height:44.25pt;z-index:251658247;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000000">
      <w:r>
        <w:rPr>
          <w:noProof/>
        </w:rPr>
        <w:pict w14:anchorId="6274FC52">
          <v:shape id="_x0000_s1032" type="#_x0000_t202" style="position:absolute;margin-left:-40pt;margin-top:28.05pt;width:277.95pt;height:41.1pt;z-index:251658248;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000000">
      <w:r>
        <w:rPr>
          <w:noProof/>
        </w:rPr>
        <w:pict w14:anchorId="71B6DAC5">
          <v:shape id="_x0000_s1026" type="#_x0000_t202" style="position:absolute;margin-left:-40.1pt;margin-top:-11.25pt;width:270.2pt;height:119.6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58250" behindDoc="1" locked="0" layoutInCell="1" allowOverlap="1" wp14:anchorId="271CD7C0" wp14:editId="491D7950">
            <wp:simplePos x="0" y="0"/>
            <wp:positionH relativeFrom="column">
              <wp:posOffset>1639294</wp:posOffset>
            </wp:positionH>
            <wp:positionV relativeFrom="paragraph">
              <wp:posOffset>9262</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000000">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000000">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000000">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000000">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000000">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000000">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000000">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000000">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000000">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000000">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4"/>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28ABD3CC" w:rsidR="000D5760" w:rsidRDefault="000D5760" w:rsidP="00594BAC">
      <w:pPr>
        <w:jc w:val="both"/>
        <w:rPr>
          <w:lang w:eastAsia="fr-FR"/>
        </w:rPr>
      </w:pPr>
      <w:r w:rsidRPr="000D5760">
        <w:rPr>
          <w:lang w:eastAsia="fr-FR"/>
        </w:rPr>
        <w:t>Je tiens à remercier chaleureusement Médéric Descazeaux</w:t>
      </w:r>
      <w:r w:rsidR="002F5EA9">
        <w:rPr>
          <w:lang w:eastAsia="fr-FR"/>
        </w:rPr>
        <w:t xml:space="preserve"> et</w:t>
      </w:r>
      <w:r w:rsidRPr="000D5760">
        <w:rPr>
          <w:lang w:eastAsia="fr-FR"/>
        </w:rPr>
        <w:t xml:space="preserve"> Renaud Vignal, mes tuteurs d</w:t>
      </w:r>
      <w:r w:rsidR="002F5EA9">
        <w:rPr>
          <w:lang w:eastAsia="fr-FR"/>
        </w:rPr>
        <w:t>’</w:t>
      </w:r>
      <w:r w:rsidR="00207706">
        <w:rPr>
          <w:lang w:eastAsia="fr-FR"/>
        </w:rPr>
        <w:t>apprentissage</w:t>
      </w:r>
      <w:r w:rsidRPr="000D5760">
        <w:rPr>
          <w:lang w:eastAsia="fr-FR"/>
        </w:rPr>
        <w:t>,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41F0C6B8" w:rsidR="006A68E7" w:rsidRDefault="00D51C2E" w:rsidP="008F40D7">
      <w:pPr>
        <w:pStyle w:val="Titre1"/>
      </w:pPr>
      <w:bookmarkStart w:id="2" w:name="_Toc191556789"/>
      <w:r>
        <w:lastRenderedPageBreak/>
        <w:t>État</w:t>
      </w:r>
      <w:r w:rsidR="006A68E7" w:rsidRPr="00037427">
        <w:t xml:space="preserve"> de l'art</w:t>
      </w:r>
      <w:bookmarkEnd w:id="2"/>
    </w:p>
    <w:p w14:paraId="3AEF7F0F" w14:textId="4CD84AE3" w:rsidR="00D51C2E" w:rsidRPr="00D51C2E" w:rsidRDefault="00D546D4" w:rsidP="00B31428">
      <w:pPr>
        <w:pStyle w:val="Titre2"/>
      </w:pPr>
      <w:r>
        <w:t>1. Développement du marché photovoltaïque : croissance, enjeux et dépendances</w:t>
      </w:r>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13F4636"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6"/>
                    <a:stretch>
                      <a:fillRect/>
                    </a:stretch>
                  </pic:blipFill>
                  <pic:spPr>
                    <a:xfrm>
                      <a:off x="0" y="0"/>
                      <a:ext cx="5791200" cy="2997200"/>
                    </a:xfrm>
                    <a:prstGeom prst="rect">
                      <a:avLst/>
                    </a:prstGeom>
                  </pic:spPr>
                </pic:pic>
              </a:graphicData>
            </a:graphic>
          </wp:inline>
        </w:drawing>
      </w:r>
    </w:p>
    <w:p w14:paraId="377CC1E8" w14:textId="509A3E57"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A4264C">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994" cy="2760321"/>
                    </a:xfrm>
                    <a:prstGeom prst="rect">
                      <a:avLst/>
                    </a:prstGeom>
                  </pic:spPr>
                </pic:pic>
              </a:graphicData>
            </a:graphic>
          </wp:inline>
        </w:drawing>
      </w:r>
    </w:p>
    <w:p w14:paraId="23670F2E" w14:textId="295C74C8"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74E90BD1" w14:textId="77777777" w:rsidR="00131E59" w:rsidRDefault="00131E59" w:rsidP="00D32AFA">
      <w:pPr>
        <w:pStyle w:val="NormalWeb"/>
        <w:jc w:val="both"/>
        <w:rPr>
          <w14:ligatures w14:val="none"/>
        </w:rPr>
      </w:pPr>
    </w:p>
    <w:p w14:paraId="7325AC82" w14:textId="77777777" w:rsidR="0096228C" w:rsidRDefault="0096228C" w:rsidP="0096228C">
      <w:pPr>
        <w:pStyle w:val="Titre2"/>
      </w:pPr>
      <w:r>
        <w:lastRenderedPageBreak/>
        <w:t>2. Volatilité des prix des matières premières : dynamiques globales</w:t>
      </w:r>
    </w:p>
    <w:p w14:paraId="4CEE66B6" w14:textId="77777777" w:rsidR="00E56468" w:rsidRDefault="00E56468" w:rsidP="00A143C2">
      <w:pPr>
        <w:jc w:val="both"/>
      </w:pPr>
      <w:r>
        <w:t xml:space="preserve">Le secteur photovoltaïque repose sur une chaîne d’approvisionnement fortement dépendante de plusieurs matières premières stratégiques, notamment le </w:t>
      </w:r>
      <w:proofErr w:type="spellStart"/>
      <w:r>
        <w:t>polysilicium</w:t>
      </w:r>
      <w:proofErr w:type="spellEnd"/>
      <w:r>
        <w:t>, l’argent, l’aluminium et le cuivre. Ces matériaux, indispensables à la fabrication des modules solaires, connaissent une volatilité importante des prix qui complique la planification industrielle, renforce l'incertitude sur les coûts et fragilise la compétitivité du secteur.</w:t>
      </w:r>
    </w:p>
    <w:p w14:paraId="70E72290" w14:textId="77777777" w:rsidR="00E56468" w:rsidRPr="00480AB2" w:rsidRDefault="00E56468" w:rsidP="00480AB2">
      <w:pPr>
        <w:pStyle w:val="Titre4"/>
      </w:pPr>
      <w:proofErr w:type="spellStart"/>
      <w:r w:rsidRPr="00480AB2">
        <w:rPr>
          <w:rStyle w:val="lev"/>
          <w:b/>
          <w:bCs w:val="0"/>
        </w:rPr>
        <w:t>Polysilicium</w:t>
      </w:r>
      <w:proofErr w:type="spellEnd"/>
    </w:p>
    <w:p w14:paraId="4EE9D451" w14:textId="77777777" w:rsidR="00A143C2" w:rsidRDefault="00A143C2" w:rsidP="00A143C2">
      <w:pPr>
        <w:spacing w:before="120"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Le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constitue un matériau fondamental dans la fabrication des cellules photovoltaïques à base de silicium. Avant 2005, l’industrie solaire s’approvisionnait principalement via les déchets issus de l’industrie des semi-conducteurs. Cependant, la mise en place du tarif de rachat allemand en 2004 a entraîné une explosion de la demande, provoquant une pénurie et une envolée spectaculaire des prix. La production de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requiert des investissements en capital élevés, une main-d’œuvre hautement qualifiée, une maîtrise technique complexe et, surtout, un accès à une électricité peu coûteuse du fait de sa forte intensité énergétique. Ces contraintes limitent les zones géographiques adaptées à cette industrie.</w:t>
      </w:r>
    </w:p>
    <w:p w14:paraId="21DB1CA9" w14:textId="77777777" w:rsidR="00FE1AF9" w:rsidRDefault="00FE1AF9" w:rsidP="00F23506">
      <w:pPr>
        <w:keepNext/>
        <w:spacing w:before="120" w:after="100" w:afterAutospacing="1" w:line="240" w:lineRule="auto"/>
        <w:jc w:val="center"/>
      </w:pPr>
      <w:r w:rsidRPr="00FE1AF9">
        <w:rPr>
          <w:rFonts w:eastAsia="Times New Roman" w:cs="Times New Roman"/>
          <w:noProof/>
          <w:kern w:val="0"/>
          <w:szCs w:val="24"/>
          <w:lang w:eastAsia="fr-FR"/>
          <w14:ligatures w14:val="none"/>
        </w:rPr>
        <w:drawing>
          <wp:inline distT="0" distB="0" distL="0" distR="0" wp14:anchorId="2E92081C" wp14:editId="334DF5F6">
            <wp:extent cx="4934639" cy="2791215"/>
            <wp:effectExtent l="0" t="0" r="0" b="9525"/>
            <wp:docPr id="1862144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4558" name=""/>
                    <pic:cNvPicPr/>
                  </pic:nvPicPr>
                  <pic:blipFill>
                    <a:blip r:embed="rId18"/>
                    <a:stretch>
                      <a:fillRect/>
                    </a:stretch>
                  </pic:blipFill>
                  <pic:spPr>
                    <a:xfrm>
                      <a:off x="0" y="0"/>
                      <a:ext cx="4934639" cy="2791215"/>
                    </a:xfrm>
                    <a:prstGeom prst="rect">
                      <a:avLst/>
                    </a:prstGeom>
                  </pic:spPr>
                </pic:pic>
              </a:graphicData>
            </a:graphic>
          </wp:inline>
        </w:drawing>
      </w:r>
    </w:p>
    <w:p w14:paraId="7B931B62" w14:textId="766777E9" w:rsidR="00FE1AF9" w:rsidRPr="00A143C2" w:rsidRDefault="00FE1AF9" w:rsidP="00FE1AF9">
      <w:pPr>
        <w:pStyle w:val="Lgende"/>
        <w:jc w:val="center"/>
        <w:rPr>
          <w:rFonts w:eastAsia="Times New Roman" w:cs="Times New Roman"/>
          <w:kern w:val="0"/>
          <w:szCs w:val="24"/>
          <w:lang w:eastAsia="fr-FR"/>
          <w14:ligatures w14:val="none"/>
        </w:rPr>
      </w:pPr>
      <w:r>
        <w:t xml:space="preserve">Figure </w:t>
      </w:r>
      <w:r>
        <w:fldChar w:fldCharType="begin"/>
      </w:r>
      <w:r>
        <w:instrText xml:space="preserve"> SEQ Figure \* ARABIC </w:instrText>
      </w:r>
      <w:r>
        <w:fldChar w:fldCharType="separate"/>
      </w:r>
      <w:r w:rsidR="00A4264C">
        <w:rPr>
          <w:noProof/>
        </w:rPr>
        <w:t>4</w:t>
      </w:r>
      <w:r>
        <w:fldChar w:fldCharType="end"/>
      </w:r>
      <w:r>
        <w:t xml:space="preserve"> : </w:t>
      </w:r>
      <w:r w:rsidRPr="00BA739B">
        <w:t xml:space="preserve"> </w:t>
      </w:r>
      <w:proofErr w:type="spellStart"/>
      <w:r w:rsidRPr="00BA739B">
        <w:t>Polysilicon</w:t>
      </w:r>
      <w:proofErr w:type="spellEnd"/>
      <w:r w:rsidRPr="00BA739B">
        <w:t xml:space="preserve"> </w:t>
      </w:r>
      <w:proofErr w:type="spellStart"/>
      <w:r w:rsidRPr="00BA739B">
        <w:t>prices</w:t>
      </w:r>
      <w:proofErr w:type="spellEnd"/>
      <w:r>
        <w:t xml:space="preserve"> </w:t>
      </w:r>
      <w:r w:rsidRPr="00BA739B">
        <w:t>(</w:t>
      </w:r>
      <w:proofErr w:type="spellStart"/>
      <w:r w:rsidRPr="00BA739B">
        <w:t>BloombergNEF</w:t>
      </w:r>
      <w:proofErr w:type="spellEnd"/>
      <w:r w:rsidRPr="00BA739B">
        <w:t xml:space="preserve"> 2021)</w:t>
      </w:r>
    </w:p>
    <w:p w14:paraId="7B830455" w14:textId="77777777" w:rsid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D’après le </w:t>
      </w:r>
      <w:r w:rsidRPr="00A143C2">
        <w:rPr>
          <w:rFonts w:eastAsia="Times New Roman" w:cs="Times New Roman"/>
          <w:i/>
          <w:iCs/>
          <w:kern w:val="0"/>
          <w:szCs w:val="24"/>
          <w:lang w:eastAsia="fr-FR"/>
          <w14:ligatures w14:val="none"/>
        </w:rPr>
        <w:t xml:space="preserve">U.S. </w:t>
      </w:r>
      <w:proofErr w:type="spellStart"/>
      <w:r w:rsidRPr="00A143C2">
        <w:rPr>
          <w:rFonts w:eastAsia="Times New Roman" w:cs="Times New Roman"/>
          <w:i/>
          <w:iCs/>
          <w:kern w:val="0"/>
          <w:szCs w:val="24"/>
          <w:lang w:eastAsia="fr-FR"/>
          <w14:ligatures w14:val="none"/>
        </w:rPr>
        <w:t>Department</w:t>
      </w:r>
      <w:proofErr w:type="spellEnd"/>
      <w:r w:rsidRPr="00A143C2">
        <w:rPr>
          <w:rFonts w:eastAsia="Times New Roman" w:cs="Times New Roman"/>
          <w:i/>
          <w:iCs/>
          <w:kern w:val="0"/>
          <w:szCs w:val="24"/>
          <w:lang w:eastAsia="fr-FR"/>
          <w14:ligatures w14:val="none"/>
        </w:rPr>
        <w:t xml:space="preserve"> of Energy</w:t>
      </w:r>
      <w:r w:rsidRPr="00A143C2">
        <w:rPr>
          <w:rFonts w:eastAsia="Times New Roman" w:cs="Times New Roman"/>
          <w:kern w:val="0"/>
          <w:szCs w:val="24"/>
          <w:lang w:eastAsia="fr-FR"/>
          <w14:ligatures w14:val="none"/>
        </w:rPr>
        <w:t xml:space="preserve"> (2022), 72 % de la capacité mondiale de production est localisée en Chine, principalement dans les provinces du Xinjiang et du Jiangsu, tandis que plus de 96 % des capacités d’</w:t>
      </w:r>
      <w:proofErr w:type="spellStart"/>
      <w:r w:rsidRPr="00A143C2">
        <w:rPr>
          <w:rFonts w:eastAsia="Times New Roman" w:cs="Times New Roman"/>
          <w:kern w:val="0"/>
          <w:szCs w:val="24"/>
          <w:lang w:eastAsia="fr-FR"/>
          <w14:ligatures w14:val="none"/>
        </w:rPr>
        <w:t>ingots</w:t>
      </w:r>
      <w:proofErr w:type="spellEnd"/>
      <w:r w:rsidRPr="00A143C2">
        <w:rPr>
          <w:rFonts w:eastAsia="Times New Roman" w:cs="Times New Roman"/>
          <w:kern w:val="0"/>
          <w:szCs w:val="24"/>
          <w:lang w:eastAsia="fr-FR"/>
          <w14:ligatures w14:val="none"/>
        </w:rPr>
        <w:t xml:space="preserve"> dépendent également de fournisseurs chinois. Le rapport indique également que les prix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ont triplé entre juin 2020 et juin 2021, passant de 6,27 $/kg à 28,46 $/kg, en raison d’un déséquilibre entre l’offre et une demande fortement tirée par l’expansion des unités de production de wafers et cellules photovoltaïques. Ce déséquilibre a conduit les acteurs situés en aval de la chaîne à stocker massivement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dans l’attente d’une intensification de la demande, notamment en Chine.</w:t>
      </w:r>
    </w:p>
    <w:p w14:paraId="50603870" w14:textId="77777777" w:rsidR="00546CE0" w:rsidRDefault="00546CE0" w:rsidP="00546CE0">
      <w:pPr>
        <w:keepNext/>
        <w:spacing w:before="100" w:beforeAutospacing="1" w:after="100" w:afterAutospacing="1" w:line="240" w:lineRule="auto"/>
        <w:jc w:val="center"/>
      </w:pPr>
      <w:r w:rsidRPr="00546CE0">
        <w:rPr>
          <w:rFonts w:eastAsia="Times New Roman" w:cs="Times New Roman"/>
          <w:noProof/>
          <w:kern w:val="0"/>
          <w:szCs w:val="24"/>
          <w:lang w:eastAsia="fr-FR"/>
          <w14:ligatures w14:val="none"/>
        </w:rPr>
        <w:lastRenderedPageBreak/>
        <w:drawing>
          <wp:inline distT="0" distB="0" distL="0" distR="0" wp14:anchorId="23D28D24" wp14:editId="3A861CEB">
            <wp:extent cx="5353049" cy="3157268"/>
            <wp:effectExtent l="0" t="0" r="0" b="0"/>
            <wp:docPr id="593350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0919" name=""/>
                    <pic:cNvPicPr/>
                  </pic:nvPicPr>
                  <pic:blipFill>
                    <a:blip r:embed="rId19"/>
                    <a:stretch>
                      <a:fillRect/>
                    </a:stretch>
                  </pic:blipFill>
                  <pic:spPr>
                    <a:xfrm>
                      <a:off x="0" y="0"/>
                      <a:ext cx="5361348" cy="3162163"/>
                    </a:xfrm>
                    <a:prstGeom prst="rect">
                      <a:avLst/>
                    </a:prstGeom>
                  </pic:spPr>
                </pic:pic>
              </a:graphicData>
            </a:graphic>
          </wp:inline>
        </w:drawing>
      </w:r>
    </w:p>
    <w:p w14:paraId="7928855A" w14:textId="118A5934" w:rsidR="00546CE0" w:rsidRPr="00A143C2" w:rsidRDefault="00546CE0" w:rsidP="00F23506">
      <w:pPr>
        <w:pStyle w:val="Lgende"/>
        <w:jc w:val="center"/>
        <w:rPr>
          <w:rFonts w:eastAsia="Times New Roman" w:cs="Times New Roman"/>
          <w:kern w:val="0"/>
          <w:szCs w:val="24"/>
          <w:lang w:val="en-US" w:eastAsia="fr-FR"/>
          <w14:ligatures w14:val="none"/>
        </w:rPr>
      </w:pPr>
      <w:r w:rsidRPr="00B66EF1">
        <w:rPr>
          <w:lang w:val="en-US"/>
        </w:rPr>
        <w:t xml:space="preserve">Figure </w:t>
      </w:r>
      <w:r>
        <w:fldChar w:fldCharType="begin"/>
      </w:r>
      <w:r w:rsidRPr="00B66EF1">
        <w:rPr>
          <w:lang w:val="en-US"/>
        </w:rPr>
        <w:instrText xml:space="preserve"> SEQ Figure \* ARABIC </w:instrText>
      </w:r>
      <w:r>
        <w:fldChar w:fldCharType="separate"/>
      </w:r>
      <w:r w:rsidR="00A4264C">
        <w:rPr>
          <w:noProof/>
          <w:lang w:val="en-US"/>
        </w:rPr>
        <w:t>5</w:t>
      </w:r>
      <w:r>
        <w:fldChar w:fldCharType="end"/>
      </w:r>
      <w:r w:rsidRPr="00B66EF1">
        <w:rPr>
          <w:lang w:val="en-US"/>
        </w:rPr>
        <w:t xml:space="preserve"> : Global polysilicon annual manufacturing </w:t>
      </w:r>
      <w:proofErr w:type="gramStart"/>
      <w:r w:rsidRPr="00B66EF1">
        <w:rPr>
          <w:lang w:val="en-US"/>
        </w:rPr>
        <w:t>capacity.(</w:t>
      </w:r>
      <w:proofErr w:type="spellStart"/>
      <w:proofErr w:type="gramEnd"/>
      <w:r w:rsidRPr="00B66EF1">
        <w:rPr>
          <w:lang w:val="en-US"/>
        </w:rPr>
        <w:t>BloombergNEF</w:t>
      </w:r>
      <w:proofErr w:type="spellEnd"/>
      <w:r w:rsidRPr="00B66EF1">
        <w:rPr>
          <w:lang w:val="en-US"/>
        </w:rPr>
        <w:t xml:space="preserve"> 2021)</w:t>
      </w:r>
    </w:p>
    <w:p w14:paraId="6C4A3A12" w14:textId="07EA527E" w:rsidR="00A143C2" w:rsidRP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Bien que certaines capacités supplémentaires soient entrées en service à partir de 2021, les tensions sur l’offre devraient persister jusqu’en 2023. Le rapport précise que plusieurs nouvelles unités de production récentes affichent des capacités de 30 000 à 70 000 tonnes/an, certaines dépassant même les 100 000 tonnes/an (U.S. </w:t>
      </w:r>
      <w:proofErr w:type="spellStart"/>
      <w:r w:rsidRPr="00A143C2">
        <w:rPr>
          <w:rFonts w:eastAsia="Times New Roman" w:cs="Times New Roman"/>
          <w:kern w:val="0"/>
          <w:szCs w:val="24"/>
          <w:lang w:eastAsia="fr-FR"/>
          <w14:ligatures w14:val="none"/>
        </w:rPr>
        <w:t>Department</w:t>
      </w:r>
      <w:proofErr w:type="spellEnd"/>
      <w:r w:rsidRPr="00A143C2">
        <w:rPr>
          <w:rFonts w:eastAsia="Times New Roman" w:cs="Times New Roman"/>
          <w:kern w:val="0"/>
          <w:szCs w:val="24"/>
          <w:lang w:eastAsia="fr-FR"/>
          <w14:ligatures w14:val="none"/>
        </w:rPr>
        <w:t xml:space="preserve"> of Energy, 2022).</w:t>
      </w:r>
    </w:p>
    <w:p w14:paraId="6EBE3A48" w14:textId="77777777" w:rsidR="00E56468" w:rsidRDefault="00E56468" w:rsidP="00D22E67">
      <w:pPr>
        <w:pStyle w:val="Titre4"/>
        <w:spacing w:after="120"/>
        <w:jc w:val="both"/>
      </w:pPr>
      <w:r>
        <w:rPr>
          <w:rStyle w:val="lev"/>
          <w:b/>
          <w:bCs w:val="0"/>
        </w:rPr>
        <w:t>Argent</w:t>
      </w:r>
    </w:p>
    <w:p w14:paraId="6A7B4314" w14:textId="77777777" w:rsidR="00FB7320" w:rsidRDefault="00FB7320" w:rsidP="005E7332">
      <w:pPr>
        <w:jc w:val="both"/>
      </w:pPr>
      <w:r>
        <w:t xml:space="preserve">L'argent est un composant critique dans la fabrication des cellules solaires, où il est principalement utilisé pour la </w:t>
      </w:r>
      <w:r w:rsidRPr="005E7332">
        <w:rPr>
          <w:rStyle w:val="lev"/>
          <w:b w:val="0"/>
          <w:bCs w:val="0"/>
        </w:rPr>
        <w:t>métallisation des contacts électriques</w:t>
      </w:r>
      <w:r>
        <w:t xml:space="preserve">. En raison de ses excellentes propriétés de conduction, il est appliqué par sérigraphie sous forme de pâte conductrice sur la face avant et/ou arrière des cellules. Toutefois, son </w:t>
      </w:r>
      <w:r w:rsidRPr="005E7332">
        <w:rPr>
          <w:rStyle w:val="lev"/>
          <w:b w:val="0"/>
          <w:bCs w:val="0"/>
        </w:rPr>
        <w:t>coût élevé</w:t>
      </w:r>
      <w:r>
        <w:t xml:space="preserve"> et sa </w:t>
      </w:r>
      <w:r w:rsidRPr="005E7332">
        <w:rPr>
          <w:rStyle w:val="lev"/>
          <w:b w:val="0"/>
          <w:bCs w:val="0"/>
        </w:rPr>
        <w:t>volatilité sur les marchés des métaux précieux</w:t>
      </w:r>
      <w:r>
        <w:t xml:space="preserve"> en font une source majeure d’instabilité pour les coûts de production photovoltaïque.</w:t>
      </w:r>
    </w:p>
    <w:p w14:paraId="15C93F05" w14:textId="77777777" w:rsidR="00FB7320" w:rsidRDefault="00FB7320" w:rsidP="00BE4D40">
      <w:pPr>
        <w:pStyle w:val="Titre5"/>
        <w:spacing w:after="40"/>
      </w:pPr>
      <w:r>
        <w:rPr>
          <w:rStyle w:val="lev"/>
          <w:b w:val="0"/>
          <w:bCs w:val="0"/>
        </w:rPr>
        <w:t xml:space="preserve">Données de marché et impact </w:t>
      </w:r>
      <w:r w:rsidRPr="00BE4D40">
        <w:rPr>
          <w:rStyle w:val="lev"/>
          <w:b w:val="0"/>
          <w:bCs w:val="0"/>
        </w:rPr>
        <w:t>sur</w:t>
      </w:r>
      <w:r>
        <w:rPr>
          <w:rStyle w:val="lev"/>
          <w:b w:val="0"/>
          <w:bCs w:val="0"/>
        </w:rPr>
        <w:t xml:space="preserve"> les coûts</w:t>
      </w:r>
    </w:p>
    <w:p w14:paraId="648353BE" w14:textId="77777777" w:rsidR="00FB7320" w:rsidRDefault="00FB7320" w:rsidP="00FB7320">
      <w:pPr>
        <w:jc w:val="both"/>
      </w:pPr>
      <w:r>
        <w:t xml:space="preserve">En 2020, le prix de l'argent oscillait autour de </w:t>
      </w:r>
      <w:r w:rsidRPr="00FB7320">
        <w:rPr>
          <w:rStyle w:val="lev"/>
          <w:b w:val="0"/>
          <w:bCs w:val="0"/>
        </w:rPr>
        <w:t>0,48 €/g</w:t>
      </w:r>
      <w:r>
        <w:t xml:space="preserve">, avant de grimper à </w:t>
      </w:r>
      <w:r w:rsidRPr="00FB7320">
        <w:rPr>
          <w:rStyle w:val="lev"/>
          <w:b w:val="0"/>
          <w:bCs w:val="0"/>
        </w:rPr>
        <w:t>0,84 €/g en février 2021</w:t>
      </w:r>
      <w:r>
        <w:t xml:space="preserve">, puis de se stabiliser autour de </w:t>
      </w:r>
      <w:r w:rsidRPr="00FB7320">
        <w:rPr>
          <w:rStyle w:val="lev"/>
          <w:b w:val="0"/>
          <w:bCs w:val="0"/>
        </w:rPr>
        <w:t>0,70 €/g en 2022</w:t>
      </w:r>
      <w:r>
        <w:t xml:space="preserve"> (Silver Institute, 2022). Cette volatilité est amplifiée par les tensions géopolitiques, l'inflation mondiale, les taux d'intérêt et les besoins croissants de secteurs comme l’électronique ou les batteries.</w:t>
      </w:r>
    </w:p>
    <w:p w14:paraId="1D309151" w14:textId="77777777" w:rsidR="00FB7320" w:rsidRDefault="00FB7320" w:rsidP="00FB7320">
      <w:pPr>
        <w:jc w:val="both"/>
      </w:pPr>
      <w:r>
        <w:t xml:space="preserve">Selon une analyse de </w:t>
      </w:r>
      <w:proofErr w:type="spellStart"/>
      <w:r>
        <w:t>Kose</w:t>
      </w:r>
      <w:proofErr w:type="spellEnd"/>
      <w:r>
        <w:t xml:space="preserve">, </w:t>
      </w:r>
      <w:proofErr w:type="spellStart"/>
      <w:r>
        <w:t>Deilami</w:t>
      </w:r>
      <w:proofErr w:type="spellEnd"/>
      <w:r>
        <w:t xml:space="preserve"> et Shah (2023), ces fluctuations ont entraîné une </w:t>
      </w:r>
      <w:r w:rsidRPr="00FB7320">
        <w:rPr>
          <w:rStyle w:val="lev"/>
          <w:b w:val="0"/>
          <w:bCs w:val="0"/>
        </w:rPr>
        <w:t>hausse des coûts de fabrication des cellules photovoltaïques de 6 à 12 % selon les technologies</w:t>
      </w:r>
      <w:r w:rsidRPr="00FB7320">
        <w:t xml:space="preserve">, </w:t>
      </w:r>
      <w:r>
        <w:t xml:space="preserve">impactant plus fortement les producteurs situés dans les pays émergents, où l’accès à des ressources financières ou logistiques stables est plus limité. L'étude souligne aussi le </w:t>
      </w:r>
      <w:r w:rsidRPr="00FB7320">
        <w:rPr>
          <w:rStyle w:val="lev"/>
          <w:b w:val="0"/>
          <w:bCs w:val="0"/>
        </w:rPr>
        <w:t>risque spéculatif accru</w:t>
      </w:r>
      <w:r>
        <w:t xml:space="preserve"> sur l'argent en tant qu’actif de réserve en période de crise économique.</w:t>
      </w:r>
    </w:p>
    <w:p w14:paraId="22B318A2" w14:textId="77777777" w:rsidR="00B64356" w:rsidRDefault="00B64356" w:rsidP="00B64356">
      <w:pPr>
        <w:keepNext/>
        <w:jc w:val="center"/>
      </w:pPr>
      <w:r w:rsidRPr="00B64356">
        <w:rPr>
          <w:noProof/>
          <w:lang w:eastAsia="fr-FR"/>
        </w:rPr>
        <w:lastRenderedPageBreak/>
        <w:drawing>
          <wp:inline distT="0" distB="0" distL="0" distR="0" wp14:anchorId="22021759" wp14:editId="5C11E127">
            <wp:extent cx="5760720" cy="2115820"/>
            <wp:effectExtent l="0" t="0" r="0" b="0"/>
            <wp:docPr id="59433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3259" name=""/>
                    <pic:cNvPicPr/>
                  </pic:nvPicPr>
                  <pic:blipFill>
                    <a:blip r:embed="rId20"/>
                    <a:stretch>
                      <a:fillRect/>
                    </a:stretch>
                  </pic:blipFill>
                  <pic:spPr>
                    <a:xfrm>
                      <a:off x="0" y="0"/>
                      <a:ext cx="5760720" cy="2115820"/>
                    </a:xfrm>
                    <a:prstGeom prst="rect">
                      <a:avLst/>
                    </a:prstGeom>
                  </pic:spPr>
                </pic:pic>
              </a:graphicData>
            </a:graphic>
          </wp:inline>
        </w:drawing>
      </w:r>
    </w:p>
    <w:p w14:paraId="48CFE8DA" w14:textId="0E34E4BC" w:rsidR="00B64356" w:rsidRPr="00F53443" w:rsidRDefault="00B64356" w:rsidP="00B64356">
      <w:pPr>
        <w:pStyle w:val="Lgende"/>
        <w:jc w:val="center"/>
        <w:rPr>
          <w:lang w:eastAsia="fr-FR"/>
        </w:rPr>
      </w:pPr>
      <w:r>
        <w:t xml:space="preserve">Figure </w:t>
      </w:r>
      <w:r>
        <w:fldChar w:fldCharType="begin"/>
      </w:r>
      <w:r>
        <w:instrText xml:space="preserve"> SEQ Figure \* ARABIC </w:instrText>
      </w:r>
      <w:r>
        <w:fldChar w:fldCharType="separate"/>
      </w:r>
      <w:r w:rsidR="00A4264C">
        <w:rPr>
          <w:noProof/>
        </w:rPr>
        <w:t>6</w:t>
      </w:r>
      <w:r>
        <w:fldChar w:fldCharType="end"/>
      </w:r>
      <w:r>
        <w:t xml:space="preserve"> : </w:t>
      </w:r>
      <w:r w:rsidRPr="00F928EE">
        <w:t>Cours de l'Argent</w:t>
      </w:r>
      <w:r>
        <w:t xml:space="preserve"> </w:t>
      </w:r>
      <w:r w:rsidRPr="00F928EE">
        <w:t xml:space="preserve">en </w:t>
      </w:r>
      <w:proofErr w:type="gramStart"/>
      <w:r w:rsidRPr="00F928EE">
        <w:t>Euro</w:t>
      </w:r>
      <w:r>
        <w:t>(</w:t>
      </w:r>
      <w:proofErr w:type="gramEnd"/>
      <w:r w:rsidRPr="00F928EE">
        <w:t>BDOR</w:t>
      </w:r>
      <w:r>
        <w:t xml:space="preserve"> - 2025)</w:t>
      </w:r>
    </w:p>
    <w:p w14:paraId="20591062" w14:textId="77777777" w:rsidR="00E62A36" w:rsidRPr="00E62A36" w:rsidRDefault="00E62A36" w:rsidP="00E62A36">
      <w:pPr>
        <w:pStyle w:val="Titre5"/>
      </w:pPr>
      <w:r w:rsidRPr="00E62A36">
        <w:rPr>
          <w:rStyle w:val="lev"/>
          <w:b w:val="0"/>
          <w:bCs w:val="0"/>
        </w:rPr>
        <w:t>Réduction ciblée de la consommation d'argent</w:t>
      </w:r>
    </w:p>
    <w:p w14:paraId="13D64C42" w14:textId="77777777" w:rsidR="00E62A36" w:rsidRDefault="00E62A36" w:rsidP="00E62A36">
      <w:pPr>
        <w:spacing w:before="40" w:after="100" w:afterAutospacing="1"/>
        <w:jc w:val="both"/>
      </w:pPr>
      <w:r>
        <w:t xml:space="preserve">Face à cette dépendance, les fabricants industriels cherchent activement à </w:t>
      </w:r>
      <w:r w:rsidRPr="00E62A36">
        <w:rPr>
          <w:rStyle w:val="lev"/>
          <w:b w:val="0"/>
          <w:bCs w:val="0"/>
        </w:rPr>
        <w:t>réduire la consommation d’argent par watt-crête (</w:t>
      </w:r>
      <w:proofErr w:type="spellStart"/>
      <w:r w:rsidRPr="00E62A36">
        <w:rPr>
          <w:rStyle w:val="lev"/>
          <w:b w:val="0"/>
          <w:bCs w:val="0"/>
        </w:rPr>
        <w:t>Wc</w:t>
      </w:r>
      <w:proofErr w:type="spellEnd"/>
      <w:r w:rsidRPr="00E62A36">
        <w:rPr>
          <w:rStyle w:val="lev"/>
          <w:b w:val="0"/>
          <w:bCs w:val="0"/>
        </w:rPr>
        <w:t>) produit</w:t>
      </w:r>
      <w:r w:rsidRPr="00E62A36">
        <w:t xml:space="preserve">, sans compromettre le rendement énergétique des modules. D’après Zhang (2023), les cellules solaires industrielles utilisaient en 2016 environ </w:t>
      </w:r>
      <w:r w:rsidRPr="00E62A36">
        <w:rPr>
          <w:rStyle w:val="lev"/>
          <w:b w:val="0"/>
          <w:bCs w:val="0"/>
        </w:rPr>
        <w:t>120 mg d’argent/</w:t>
      </w:r>
      <w:proofErr w:type="spellStart"/>
      <w:r w:rsidRPr="00E62A36">
        <w:rPr>
          <w:rStyle w:val="lev"/>
          <w:b w:val="0"/>
          <w:bCs w:val="0"/>
        </w:rPr>
        <w:t>Wc</w:t>
      </w:r>
      <w:proofErr w:type="spellEnd"/>
      <w:r w:rsidRPr="00E62A36">
        <w:t xml:space="preserve">, contre </w:t>
      </w:r>
      <w:r w:rsidRPr="00E62A36">
        <w:rPr>
          <w:rStyle w:val="lev"/>
          <w:b w:val="0"/>
          <w:bCs w:val="0"/>
        </w:rPr>
        <w:t>60 mg/</w:t>
      </w:r>
      <w:proofErr w:type="spellStart"/>
      <w:r w:rsidRPr="00E62A36">
        <w:rPr>
          <w:rStyle w:val="lev"/>
          <w:b w:val="0"/>
          <w:bCs w:val="0"/>
        </w:rPr>
        <w:t>Wc</w:t>
      </w:r>
      <w:proofErr w:type="spellEnd"/>
      <w:r w:rsidRPr="00E62A36">
        <w:rPr>
          <w:rStyle w:val="lev"/>
          <w:b w:val="0"/>
          <w:bCs w:val="0"/>
        </w:rPr>
        <w:t xml:space="preserve"> en 2022</w:t>
      </w:r>
      <w:r w:rsidRPr="00E62A36">
        <w:t xml:space="preserve">. L’objectif désormais fixé par les industriels est d’atteindre </w:t>
      </w:r>
      <w:r w:rsidRPr="00E62A36">
        <w:rPr>
          <w:rStyle w:val="lev"/>
          <w:b w:val="0"/>
          <w:bCs w:val="0"/>
        </w:rPr>
        <w:t>1 mg/</w:t>
      </w:r>
      <w:proofErr w:type="spellStart"/>
      <w:r w:rsidRPr="00E62A36">
        <w:rPr>
          <w:rStyle w:val="lev"/>
          <w:b w:val="0"/>
          <w:bCs w:val="0"/>
        </w:rPr>
        <w:t>Wc</w:t>
      </w:r>
      <w:proofErr w:type="spellEnd"/>
      <w:r w:rsidRPr="00E62A36">
        <w:rPr>
          <w:rStyle w:val="lev"/>
          <w:b w:val="0"/>
          <w:bCs w:val="0"/>
        </w:rPr>
        <w:t xml:space="preserve"> à l’horizon 2030</w:t>
      </w:r>
      <w:r w:rsidRPr="00E62A36">
        <w:t xml:space="preserve">, soit une réduction de plus de </w:t>
      </w:r>
      <w:r w:rsidRPr="00E62A36">
        <w:rPr>
          <w:rStyle w:val="lev"/>
          <w:b w:val="0"/>
          <w:bCs w:val="0"/>
        </w:rPr>
        <w:t>99 %</w:t>
      </w:r>
      <w:r w:rsidRPr="00E62A36">
        <w:t xml:space="preserve"> par rapport aux niveaux de 2010.</w:t>
      </w:r>
    </w:p>
    <w:p w14:paraId="1E8C23D5" w14:textId="77777777" w:rsidR="00A4264C" w:rsidRDefault="007720B9" w:rsidP="00A4264C">
      <w:pPr>
        <w:keepNext/>
        <w:spacing w:before="40" w:after="100" w:afterAutospacing="1"/>
        <w:jc w:val="center"/>
      </w:pPr>
      <w:r w:rsidRPr="007720B9">
        <w:rPr>
          <w:noProof/>
        </w:rPr>
        <w:drawing>
          <wp:inline distT="0" distB="0" distL="0" distR="0" wp14:anchorId="470F34CA" wp14:editId="2D691714">
            <wp:extent cx="2686425" cy="2114845"/>
            <wp:effectExtent l="0" t="0" r="0" b="0"/>
            <wp:docPr id="146614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9707" name=""/>
                    <pic:cNvPicPr/>
                  </pic:nvPicPr>
                  <pic:blipFill>
                    <a:blip r:embed="rId21"/>
                    <a:stretch>
                      <a:fillRect/>
                    </a:stretch>
                  </pic:blipFill>
                  <pic:spPr>
                    <a:xfrm>
                      <a:off x="0" y="0"/>
                      <a:ext cx="2686425" cy="2114845"/>
                    </a:xfrm>
                    <a:prstGeom prst="rect">
                      <a:avLst/>
                    </a:prstGeom>
                  </pic:spPr>
                </pic:pic>
              </a:graphicData>
            </a:graphic>
          </wp:inline>
        </w:drawing>
      </w:r>
    </w:p>
    <w:p w14:paraId="62F42A21" w14:textId="29F2A272" w:rsidR="00BE4D40" w:rsidRPr="00971CCC" w:rsidRDefault="00A4264C" w:rsidP="00971CCC">
      <w:pPr>
        <w:pStyle w:val="Lgende"/>
        <w:jc w:val="center"/>
        <w:rPr>
          <w:rStyle w:val="lev"/>
          <w:b w:val="0"/>
          <w:bCs w:val="0"/>
          <w:lang w:val="en-US"/>
        </w:rPr>
      </w:pPr>
      <w:r w:rsidRPr="00971CCC">
        <w:rPr>
          <w:lang w:val="en-US"/>
        </w:rPr>
        <w:t xml:space="preserve">Figure </w:t>
      </w:r>
      <w:r>
        <w:fldChar w:fldCharType="begin"/>
      </w:r>
      <w:r w:rsidRPr="00971CCC">
        <w:rPr>
          <w:lang w:val="en-US"/>
        </w:rPr>
        <w:instrText xml:space="preserve"> SEQ Figure \* ARABIC </w:instrText>
      </w:r>
      <w:r>
        <w:fldChar w:fldCharType="separate"/>
      </w:r>
      <w:r w:rsidRPr="00971CCC">
        <w:rPr>
          <w:noProof/>
          <w:lang w:val="en-US"/>
        </w:rPr>
        <w:t>7</w:t>
      </w:r>
      <w:r>
        <w:fldChar w:fldCharType="end"/>
      </w:r>
      <w:r w:rsidRPr="00971CCC">
        <w:rPr>
          <w:lang w:val="en-US"/>
        </w:rPr>
        <w:t xml:space="preserve"> : Silver consumption measured on industrial screen-printed PERC, </w:t>
      </w:r>
      <w:proofErr w:type="spellStart"/>
      <w:r w:rsidRPr="00971CCC">
        <w:rPr>
          <w:lang w:val="en-US"/>
        </w:rPr>
        <w:t>TOPCon</w:t>
      </w:r>
      <w:proofErr w:type="spellEnd"/>
      <w:r w:rsidRPr="00971CCC">
        <w:rPr>
          <w:lang w:val="en-US"/>
        </w:rPr>
        <w:t xml:space="preserve"> and SHJ solar cells (I</w:t>
      </w:r>
      <w:r w:rsidR="00971CCC" w:rsidRPr="00971CCC">
        <w:rPr>
          <w:lang w:val="en-US"/>
        </w:rPr>
        <w:t>TRP</w:t>
      </w:r>
      <w:r w:rsidR="00971CCC">
        <w:rPr>
          <w:lang w:val="en-US"/>
        </w:rPr>
        <w:t>V)</w:t>
      </w:r>
    </w:p>
    <w:p w14:paraId="59101F57" w14:textId="124101F1" w:rsidR="00E56468" w:rsidRDefault="00E56468" w:rsidP="00A143C2">
      <w:pPr>
        <w:pStyle w:val="Titre4"/>
        <w:jc w:val="both"/>
      </w:pPr>
      <w:r>
        <w:rPr>
          <w:rStyle w:val="lev"/>
          <w:b/>
          <w:bCs w:val="0"/>
        </w:rPr>
        <w:t>Cuivre</w:t>
      </w:r>
    </w:p>
    <w:p w14:paraId="5AAEBFB6" w14:textId="77777777" w:rsidR="00AF3AB2" w:rsidRDefault="00AF3AB2" w:rsidP="00AF3AB2">
      <w:r>
        <w:t>Le cuivre est un métal essentiel dans de nombreux secteurs, notamment l'infrastructure, le transport, et les équipements électriques et électroniques. Ses propriétés uniques en font un matériau clé pour la transition vers une économie plus durable.</w:t>
      </w:r>
    </w:p>
    <w:p w14:paraId="7CFD9FF3" w14:textId="77777777" w:rsidR="00AF3AB2" w:rsidRDefault="00AF3AB2" w:rsidP="00AF3AB2">
      <w:pPr>
        <w:pStyle w:val="Titre5"/>
      </w:pPr>
      <w:r>
        <w:rPr>
          <w:rStyle w:val="lev"/>
          <w:b w:val="0"/>
          <w:bCs w:val="0"/>
        </w:rPr>
        <w:t>Projection de la Demande Mondiale</w:t>
      </w:r>
    </w:p>
    <w:p w14:paraId="28EE30A1" w14:textId="77777777" w:rsidR="00AF3AB2" w:rsidRDefault="00AF3AB2" w:rsidP="005E7332">
      <w:pPr>
        <w:jc w:val="both"/>
      </w:pPr>
      <w:r>
        <w:rPr>
          <w:rStyle w:val="relative"/>
        </w:rPr>
        <w:t xml:space="preserve">Selon les scénarios élaborés par </w:t>
      </w:r>
      <w:proofErr w:type="spellStart"/>
      <w:r>
        <w:rPr>
          <w:rStyle w:val="relative"/>
        </w:rPr>
        <w:t>Elshkaki</w:t>
      </w:r>
      <w:proofErr w:type="spellEnd"/>
      <w:r>
        <w:rPr>
          <w:rStyle w:val="relative"/>
        </w:rPr>
        <w:t xml:space="preserve"> et al. (2016), la demande mondiale de cuivre pourrait augmenter de </w:t>
      </w:r>
      <w:r w:rsidRPr="005E7332">
        <w:rPr>
          <w:rStyle w:val="lev"/>
          <w:b w:val="0"/>
          <w:bCs w:val="0"/>
        </w:rPr>
        <w:t>275 % à 350 % d'ici 2050</w:t>
      </w:r>
      <w:r>
        <w:rPr>
          <w:rStyle w:val="relative"/>
        </w:rPr>
        <w:t>, en fonction des trajectoires socio-économiques envisagées.</w:t>
      </w:r>
      <w:r>
        <w:t xml:space="preserve"> </w:t>
      </w:r>
      <w:r>
        <w:rPr>
          <w:rStyle w:val="relative"/>
        </w:rPr>
        <w:t xml:space="preserve">Notamment, le scénario </w:t>
      </w:r>
      <w:r w:rsidRPr="005E7332">
        <w:rPr>
          <w:rStyle w:val="lev"/>
          <w:b w:val="0"/>
          <w:bCs w:val="0"/>
        </w:rPr>
        <w:t>"Équité d'abord"</w:t>
      </w:r>
      <w:r>
        <w:rPr>
          <w:rStyle w:val="relative"/>
        </w:rPr>
        <w:t xml:space="preserve"> prévoit la demande la plus élevée, reflétant une transition vers des valeurs et des institutions plus équitables.</w:t>
      </w:r>
      <w:r>
        <w:t xml:space="preserve"> ​</w:t>
      </w:r>
    </w:p>
    <w:p w14:paraId="54CC53FF" w14:textId="77777777" w:rsidR="00AF3AB2" w:rsidRDefault="00AF3AB2" w:rsidP="00AF3AB2">
      <w:pPr>
        <w:pStyle w:val="Titre5"/>
      </w:pPr>
      <w:r>
        <w:rPr>
          <w:rStyle w:val="lev"/>
          <w:b w:val="0"/>
          <w:bCs w:val="0"/>
        </w:rPr>
        <w:lastRenderedPageBreak/>
        <w:t>Implications sur les Ressources</w:t>
      </w:r>
    </w:p>
    <w:p w14:paraId="3DBF50BA" w14:textId="77777777" w:rsidR="00AF3AB2" w:rsidRDefault="00AF3AB2" w:rsidP="00AF3AB2">
      <w:r>
        <w:rPr>
          <w:rStyle w:val="relative"/>
        </w:rPr>
        <w:t>Cette augmentation substantielle de la demande risque de dépasser les ressources minérales de cuivre actuellement identifiées d'ici le milieu du siècle.</w:t>
      </w:r>
      <w:r>
        <w:t xml:space="preserve"> </w:t>
      </w:r>
      <w:r>
        <w:rPr>
          <w:rStyle w:val="relative"/>
        </w:rPr>
        <w:t>Cela soulève des préoccupations quant à la disponibilité future du cuivre et souligne la nécessité d'explorer des sources alternatives et d'améliorer les taux de recyclage.</w:t>
      </w:r>
      <w:r>
        <w:t xml:space="preserve"> ​</w:t>
      </w:r>
    </w:p>
    <w:p w14:paraId="6F88C968" w14:textId="77777777" w:rsidR="00AF3AB2" w:rsidRDefault="00AF3AB2" w:rsidP="00AF3AB2">
      <w:pPr>
        <w:pStyle w:val="Titre5"/>
      </w:pPr>
      <w:r>
        <w:rPr>
          <w:rStyle w:val="lev"/>
          <w:b w:val="0"/>
          <w:bCs w:val="0"/>
        </w:rPr>
        <w:t>Consommation Énergétique Associée</w:t>
      </w:r>
    </w:p>
    <w:p w14:paraId="6DA392D0" w14:textId="77777777" w:rsidR="00AF3AB2" w:rsidRDefault="00AF3AB2" w:rsidP="00311398">
      <w:pPr>
        <w:jc w:val="both"/>
      </w:pPr>
      <w:r>
        <w:rPr>
          <w:rStyle w:val="relative"/>
        </w:rPr>
        <w:t>La production de cuivre est énergétiquement intensive.</w:t>
      </w:r>
      <w:r>
        <w:t xml:space="preserve"> </w:t>
      </w:r>
      <w:r>
        <w:rPr>
          <w:rStyle w:val="relative"/>
        </w:rPr>
        <w:t xml:space="preserve">Les projections indiquent que la demande énergétique pour la production de cuivre pourrait représenter jusqu'à </w:t>
      </w:r>
      <w:r w:rsidRPr="00311398">
        <w:rPr>
          <w:rStyle w:val="lev"/>
          <w:b w:val="0"/>
          <w:bCs w:val="0"/>
        </w:rPr>
        <w:t>2,4 % de la consommation énergétique mondiale totale en 2050</w:t>
      </w:r>
      <w:r>
        <w:rPr>
          <w:rStyle w:val="relative"/>
        </w:rPr>
        <w:t>.</w:t>
      </w:r>
      <w:r>
        <w:t xml:space="preserve"> </w:t>
      </w:r>
      <w:r>
        <w:rPr>
          <w:rStyle w:val="relative"/>
        </w:rPr>
        <w:t>Cette augmentation est attribuée à la baisse attendue de la teneur en minerai, nécessitant l'extraction de volumes plus importants pour maintenir les niveaux de production.</w:t>
      </w:r>
      <w:r>
        <w:t xml:space="preserve"> </w:t>
      </w:r>
    </w:p>
    <w:p w14:paraId="6F28AC5E" w14:textId="77777777" w:rsidR="00936E49" w:rsidRDefault="00936E49" w:rsidP="00311398">
      <w:pPr>
        <w:jc w:val="both"/>
      </w:pPr>
      <w:r>
        <w:t xml:space="preserve">Dans le secteur solaire, on estime qu’un </w:t>
      </w:r>
      <w:r w:rsidRPr="00311398">
        <w:rPr>
          <w:rStyle w:val="lev"/>
          <w:b w:val="0"/>
          <w:bCs w:val="0"/>
        </w:rPr>
        <w:t>parc photovoltaïque d’1 MW</w:t>
      </w:r>
      <w:r>
        <w:t xml:space="preserve"> nécessite entre </w:t>
      </w:r>
      <w:r w:rsidRPr="00311398">
        <w:rPr>
          <w:rStyle w:val="lev"/>
          <w:b w:val="0"/>
          <w:bCs w:val="0"/>
        </w:rPr>
        <w:t>4 et 5 tonnes de cuivre</w:t>
      </w:r>
      <w:r>
        <w:t>, principalement pour les connexions entre modules, les onduleurs, les boîtiers de jonction et le câblage vers le réseau (IEA, 2022). Cette dépendance rend les coûts d’installation sensibles aux fluctuations du marché du cuivre.</w:t>
      </w:r>
    </w:p>
    <w:p w14:paraId="06698FBB" w14:textId="77777777" w:rsidR="00936E49" w:rsidRDefault="00936E49" w:rsidP="00AF3AB2">
      <w:pPr>
        <w:pStyle w:val="Titre5"/>
      </w:pPr>
      <w:r>
        <w:rPr>
          <w:rStyle w:val="lev"/>
          <w:b w:val="0"/>
          <w:bCs w:val="0"/>
        </w:rPr>
        <w:t>Tensions sur l’offre et gisements sous pression</w:t>
      </w:r>
    </w:p>
    <w:p w14:paraId="1ABBBCE5" w14:textId="77777777" w:rsidR="00936E49" w:rsidRDefault="00936E49" w:rsidP="00F56080">
      <w:pPr>
        <w:jc w:val="both"/>
      </w:pPr>
      <w:r>
        <w:t xml:space="preserve">Malgré une demande croissante, l’offre mondiale de cuivre reste contrainte. L’extraction est fortement concentrée dans quelques pays, notamment le </w:t>
      </w:r>
      <w:r w:rsidRPr="00F56080">
        <w:rPr>
          <w:rStyle w:val="lev"/>
          <w:b w:val="0"/>
          <w:bCs w:val="0"/>
        </w:rPr>
        <w:t>Chili</w:t>
      </w:r>
      <w:r w:rsidRPr="00F56080">
        <w:rPr>
          <w:b/>
          <w:bCs/>
        </w:rPr>
        <w:t xml:space="preserve"> </w:t>
      </w:r>
      <w:r>
        <w:t xml:space="preserve">(28 %), le </w:t>
      </w:r>
      <w:r w:rsidRPr="00F56080">
        <w:rPr>
          <w:rStyle w:val="lev"/>
          <w:b w:val="0"/>
          <w:bCs w:val="0"/>
        </w:rPr>
        <w:t>Pérou</w:t>
      </w:r>
      <w:r>
        <w:t xml:space="preserve"> (10 %) et la </w:t>
      </w:r>
      <w:r w:rsidRPr="00F56080">
        <w:rPr>
          <w:rStyle w:val="lev"/>
          <w:b w:val="0"/>
          <w:bCs w:val="0"/>
        </w:rPr>
        <w:t>République démocratique du Congo</w:t>
      </w:r>
      <w:r>
        <w:t xml:space="preserve"> (9 %). De plus, l’ouverture de nouvelles mines prend </w:t>
      </w:r>
      <w:r w:rsidRPr="00F56080">
        <w:rPr>
          <w:rStyle w:val="lev"/>
          <w:b w:val="0"/>
          <w:bCs w:val="0"/>
        </w:rPr>
        <w:t>10 à 15 ans</w:t>
      </w:r>
      <w:r>
        <w:t xml:space="preserve"> en moyenne, ce qui limite la réactivité de l’offre face aux chocs de demande (IEA, 2022 ; World Bank, 2023).</w:t>
      </w:r>
    </w:p>
    <w:p w14:paraId="2F4A6D5E" w14:textId="77777777" w:rsidR="00936E49" w:rsidRDefault="00936E49" w:rsidP="00E05756">
      <w:pPr>
        <w:jc w:val="both"/>
      </w:pPr>
      <w:r>
        <w:t xml:space="preserve">Ces facteurs engendrent une </w:t>
      </w:r>
      <w:r w:rsidRPr="00E05756">
        <w:rPr>
          <w:rStyle w:val="lev"/>
          <w:b w:val="0"/>
          <w:bCs w:val="0"/>
        </w:rPr>
        <w:t>hausse régulière des prix</w:t>
      </w:r>
      <w:r>
        <w:t xml:space="preserve">, avec des pics atteignant </w:t>
      </w:r>
      <w:r w:rsidRPr="00E05756">
        <w:rPr>
          <w:rStyle w:val="lev"/>
          <w:b w:val="0"/>
          <w:bCs w:val="0"/>
        </w:rPr>
        <w:t>10 000 $/tonne</w:t>
      </w:r>
      <w:r>
        <w:t xml:space="preserve"> sur les marchés en 2022. En outre, les pressions environnementales liées à l’exploitation minière et la consommation d’eau dans les zones arides (comme le désert d’Atacama au Chili) posent des enjeux de durabilité croissants.</w:t>
      </w:r>
    </w:p>
    <w:p w14:paraId="55527043" w14:textId="1AF3C17A" w:rsidR="00936E49" w:rsidRDefault="00936E49" w:rsidP="00AF3AB2">
      <w:pPr>
        <w:pStyle w:val="Titre5"/>
      </w:pPr>
      <w:r>
        <w:rPr>
          <w:rStyle w:val="lev"/>
          <w:b w:val="0"/>
          <w:bCs w:val="0"/>
        </w:rPr>
        <w:t>Cuivre vs. Argent</w:t>
      </w:r>
    </w:p>
    <w:p w14:paraId="56A98E42" w14:textId="33DD0422" w:rsidR="00936E49" w:rsidRDefault="00936E49" w:rsidP="00E05756">
      <w:pPr>
        <w:jc w:val="both"/>
      </w:pPr>
      <w:r>
        <w:t xml:space="preserve">Dans les cellules solaires, le cuivre est utilisé comme </w:t>
      </w:r>
      <w:r w:rsidRPr="00E05756">
        <w:rPr>
          <w:rStyle w:val="lev"/>
          <w:b w:val="0"/>
          <w:bCs w:val="0"/>
        </w:rPr>
        <w:t>substitut à l’argent</w:t>
      </w:r>
      <w:r>
        <w:t xml:space="preserve"> dans certaines technologies, notamment via des techniques de </w:t>
      </w:r>
      <w:proofErr w:type="spellStart"/>
      <w:r w:rsidRPr="00E05756">
        <w:rPr>
          <w:rStyle w:val="lev"/>
          <w:b w:val="0"/>
          <w:bCs w:val="0"/>
        </w:rPr>
        <w:t>plating</w:t>
      </w:r>
      <w:proofErr w:type="spellEnd"/>
      <w:r>
        <w:t xml:space="preserve">. Cette méthode permet de déposer du cuivre de manière contrôlée sur les surfaces conductrices sans recourir à la sérigraphie à base d’argent. Néanmoins, le cuivre présente un </w:t>
      </w:r>
      <w:r w:rsidRPr="00E05756">
        <w:rPr>
          <w:rStyle w:val="lev"/>
          <w:b w:val="0"/>
          <w:bCs w:val="0"/>
        </w:rPr>
        <w:t>risque de diffusion</w:t>
      </w:r>
      <w:r>
        <w:t xml:space="preserve"> dans le silicium, ce qui peut entraîner des pertes de rendement ou de stabilité si les couches de passivation ne sont pas parfaitement maîtrisées.</w:t>
      </w:r>
    </w:p>
    <w:p w14:paraId="41C3649A" w14:textId="77D1BB5F" w:rsidR="00936E49" w:rsidRDefault="00936E49" w:rsidP="004F5145">
      <w:pPr>
        <w:jc w:val="both"/>
      </w:pPr>
      <w:r>
        <w:t xml:space="preserve">Des travaux récents ont permis de limiter ces risques grâce à des </w:t>
      </w:r>
      <w:r w:rsidRPr="00E05756">
        <w:rPr>
          <w:rStyle w:val="lev"/>
          <w:b w:val="0"/>
          <w:bCs w:val="0"/>
        </w:rPr>
        <w:t>barrières de diffusion</w:t>
      </w:r>
      <w:r>
        <w:t xml:space="preserve"> et des procédés à basse température. Néanmoins, l’adoption industrielle reste prudente, car la fiabilité à long terme des modules en cuivre n’a pas encore atteint les niveaux de standardisation requis pour un déploiement massif.</w:t>
      </w:r>
    </w:p>
    <w:p w14:paraId="3CA3BEF1" w14:textId="77777777" w:rsidR="00E56468" w:rsidRDefault="00E56468" w:rsidP="00A143C2">
      <w:pPr>
        <w:pStyle w:val="Titre4"/>
        <w:jc w:val="both"/>
      </w:pPr>
      <w:r>
        <w:rPr>
          <w:rStyle w:val="lev"/>
          <w:b/>
          <w:bCs w:val="0"/>
        </w:rPr>
        <w:t>Aluminium</w:t>
      </w:r>
    </w:p>
    <w:p w14:paraId="708B36D9" w14:textId="77777777" w:rsidR="006E1B52" w:rsidRDefault="006E1B52" w:rsidP="006E1B52">
      <w:pPr>
        <w:jc w:val="both"/>
      </w:pPr>
      <w:r>
        <w:t>L'aluminium est un matériau essentiel dans de nombreux secteurs, notamment l'automobile, la construction et les technologies d'énergie renouvelable. Ses propriétés légères et résistantes en font un choix privilégié pour des applications visant à améliorer l'efficacité énergétique et réduire les émissions de carbone.</w:t>
      </w:r>
    </w:p>
    <w:p w14:paraId="27C418B2" w14:textId="77777777" w:rsidR="006E1B52" w:rsidRDefault="006E1B52" w:rsidP="006E1B52">
      <w:pPr>
        <w:pStyle w:val="Titre5"/>
      </w:pPr>
      <w:r>
        <w:rPr>
          <w:rStyle w:val="lev"/>
          <w:b w:val="0"/>
          <w:bCs w:val="0"/>
        </w:rPr>
        <w:lastRenderedPageBreak/>
        <w:t>Augmentation de la Demande Mondiale</w:t>
      </w:r>
    </w:p>
    <w:p w14:paraId="28F433DD" w14:textId="731DFCD1" w:rsidR="006E1B52" w:rsidRDefault="006E1B52" w:rsidP="006E1B52">
      <w:pPr>
        <w:jc w:val="both"/>
      </w:pPr>
      <w:r>
        <w:rPr>
          <w:rStyle w:val="relative"/>
        </w:rPr>
        <w:t>La demande mondiale d'aluminium est en constante augmentation.</w:t>
      </w:r>
      <w:r>
        <w:t xml:space="preserve"> </w:t>
      </w:r>
      <w:r>
        <w:rPr>
          <w:rStyle w:val="relative"/>
        </w:rPr>
        <w:t>Selon les projections, elle devrait croître de 50 % d'ici 2050, atteignant environ 107,8 millions de tonnes par an.</w:t>
      </w:r>
      <w:r>
        <w:t xml:space="preserve"> </w:t>
      </w:r>
      <w:r>
        <w:rPr>
          <w:rStyle w:val="relative"/>
        </w:rPr>
        <w:t>Cette hausse est principalement alimentée par son utilisation accrue dans les infrastructures durables et les technologies vertes, telles que les panneaux solaires et les véhicules électriques.</w:t>
      </w:r>
      <w:r>
        <w:t xml:space="preserve"> </w:t>
      </w:r>
      <w:r>
        <w:rPr>
          <w:rStyle w:val="relative"/>
        </w:rPr>
        <w:t>Notamment, l'aluminium représente plus de 85 % des composants de la plupart des panneaux solaires photovoltaïques, soulignant son rôle central dans le déploiement des énergies renouvelables.</w:t>
      </w:r>
      <w:r>
        <w:t xml:space="preserve"> </w:t>
      </w:r>
    </w:p>
    <w:p w14:paraId="3B767EE6" w14:textId="77777777" w:rsidR="006E1B52" w:rsidRDefault="006E1B52" w:rsidP="006E1B52">
      <w:pPr>
        <w:pStyle w:val="Titre5"/>
      </w:pPr>
      <w:r>
        <w:rPr>
          <w:rStyle w:val="lev"/>
          <w:b w:val="0"/>
          <w:bCs w:val="0"/>
        </w:rPr>
        <w:t>Consommation Énergétique et Émissions de CO₂</w:t>
      </w:r>
    </w:p>
    <w:p w14:paraId="4BEF20AF" w14:textId="7B60F054" w:rsidR="006E1B52" w:rsidRDefault="006E1B52" w:rsidP="006E1B52">
      <w:pPr>
        <w:jc w:val="both"/>
      </w:pPr>
      <w:r>
        <w:rPr>
          <w:rStyle w:val="relative"/>
        </w:rPr>
        <w:t>La production d'aluminium est particulièrement énergivore, l'électrolyse de l'alumine nécessitant une quantité significative d'électricité.</w:t>
      </w:r>
      <w:r>
        <w:t xml:space="preserve"> </w:t>
      </w:r>
      <w:r>
        <w:rPr>
          <w:rStyle w:val="relative"/>
        </w:rPr>
        <w:t>Actuellement, l'industrie de l'aluminium représente environ 3 % des émissions directes de CO₂ du secteur industriel mondial.</w:t>
      </w:r>
      <w:r>
        <w:t xml:space="preserve"> </w:t>
      </w:r>
      <w:r>
        <w:rPr>
          <w:rStyle w:val="relative"/>
        </w:rPr>
        <w:t>De plus, la production primaire d'aluminium est environ 14 fois plus intensive en énergie que la production secondaire, qui ne nécessite que 5 % de l'énergie requise pour la production primaire.</w:t>
      </w:r>
    </w:p>
    <w:p w14:paraId="19A4456E" w14:textId="16095AC4" w:rsidR="00131E59" w:rsidRDefault="00131E59" w:rsidP="00131E59">
      <w:pPr>
        <w:pStyle w:val="Titre2"/>
        <w:rPr>
          <w14:ligatures w14:val="none"/>
        </w:rPr>
      </w:pPr>
      <w:r>
        <w:t>2. Machine Learning pour la prévision des prix</w:t>
      </w:r>
    </w:p>
    <w:p w14:paraId="0729FC02" w14:textId="2B774524" w:rsidR="0015755C" w:rsidRDefault="006A68E7" w:rsidP="00D32AFA">
      <w:pPr>
        <w:pStyle w:val="NormalWeb"/>
        <w:jc w:val="both"/>
        <w:rPr>
          <w14:ligatures w14:val="none"/>
        </w:rPr>
      </w:pPr>
      <w:r w:rsidRPr="006A68E7">
        <w:rPr>
          <w14:ligatures w14:val="none"/>
        </w:rPr>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59C26737" w14:textId="4B4E28DD" w:rsidR="00FA651C" w:rsidRDefault="00FA651C" w:rsidP="00FA651C">
      <w:pPr>
        <w:pStyle w:val="Titre2"/>
        <w:rPr>
          <w14:ligatures w14:val="none"/>
        </w:rPr>
      </w:pPr>
      <w:r>
        <w:t xml:space="preserve">3. Web </w:t>
      </w:r>
      <w:proofErr w:type="spellStart"/>
      <w:r>
        <w:t>Scapping</w:t>
      </w:r>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globale sur les chaînes d'approvisionnement et les prévisions de marché solaire. Pour compléter cette approche, ABC Bourse est particulièrement utile pour le suivi des taux de </w:t>
      </w:r>
      <w:r w:rsidRPr="00922D11">
        <w:rPr>
          <w:rFonts w:eastAsia="Times New Roman" w:cs="Times New Roman"/>
          <w:kern w:val="0"/>
          <w:szCs w:val="24"/>
          <w:lang w:eastAsia="fr-FR"/>
          <w14:ligatures w14:val="none"/>
        </w:rPr>
        <w:lastRenderedPageBreak/>
        <w:t>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7C937999" w14:textId="5413F69E" w:rsidR="00FA651C" w:rsidRPr="00FA651C" w:rsidRDefault="00FA651C" w:rsidP="00FA651C">
      <w:pPr>
        <w:pStyle w:val="Titre2"/>
        <w:rPr>
          <w14:ligatures w14:val="none"/>
        </w:rPr>
      </w:pPr>
      <w:r>
        <w:t>4. Intelligence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0F97EE9" w14:textId="211DF8E6" w:rsidR="00F61EC8" w:rsidRPr="00F61EC8" w:rsidRDefault="00F61EC8" w:rsidP="00F61EC8">
      <w:pPr>
        <w:pStyle w:val="Titre2"/>
        <w:rPr>
          <w14:ligatures w14:val="none"/>
        </w:rPr>
      </w:pPr>
      <w:r>
        <w:t xml:space="preserve">5. Décomposition en </w:t>
      </w:r>
      <w:proofErr w:type="spellStart"/>
      <w:r>
        <w:t>matiere</w:t>
      </w:r>
      <w:proofErr w:type="spellEnd"/>
      <w:r>
        <w:t xml:space="preserve"> </w:t>
      </w:r>
      <w:proofErr w:type="spellStart"/>
      <w:r>
        <w:t>premiere</w:t>
      </w:r>
      <w:proofErr w:type="spellEnd"/>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22"/>
                    <a:stretch>
                      <a:fillRect/>
                    </a:stretch>
                  </pic:blipFill>
                  <pic:spPr>
                    <a:xfrm>
                      <a:off x="0" y="0"/>
                      <a:ext cx="5760720" cy="3244850"/>
                    </a:xfrm>
                    <a:prstGeom prst="rect">
                      <a:avLst/>
                    </a:prstGeom>
                  </pic:spPr>
                </pic:pic>
              </a:graphicData>
            </a:graphic>
          </wp:inline>
        </w:drawing>
      </w:r>
    </w:p>
    <w:p w14:paraId="448C692F" w14:textId="5E390028" w:rsidR="00E32C52" w:rsidRDefault="00996B23" w:rsidP="00996B23">
      <w:pPr>
        <w:pStyle w:val="Lgende"/>
        <w:jc w:val="center"/>
      </w:pPr>
      <w:bookmarkStart w:id="6" w:name="_Toc193878097"/>
      <w:r>
        <w:t xml:space="preserve">Figure </w:t>
      </w:r>
      <w:r>
        <w:fldChar w:fldCharType="begin"/>
      </w:r>
      <w:r>
        <w:instrText xml:space="preserve"> SEQ Figure \* ARABIC </w:instrText>
      </w:r>
      <w:r>
        <w:fldChar w:fldCharType="separate"/>
      </w:r>
      <w:r w:rsidR="00A4264C">
        <w:rPr>
          <w:noProof/>
        </w:rPr>
        <w:t>8</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6"/>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3177B610" w14:textId="77777777" w:rsidR="00700E97" w:rsidRDefault="00700E97" w:rsidP="00700E97">
      <w:pPr>
        <w:rPr>
          <w:rStyle w:val="lev"/>
          <w:b w:val="0"/>
          <w:bCs w:val="0"/>
        </w:rPr>
      </w:pPr>
      <w:bookmarkStart w:id="7" w:name="_Toc191556791"/>
    </w:p>
    <w:p w14:paraId="15E26068" w14:textId="3C6433CB" w:rsidR="00F61EC8" w:rsidRDefault="00F61EC8" w:rsidP="00F61EC8">
      <w:pPr>
        <w:pStyle w:val="Titre2"/>
      </w:pPr>
      <w:r>
        <w:t>6. OCR Vision par ordinateur</w:t>
      </w:r>
    </w:p>
    <w:p w14:paraId="19FA4ED9" w14:textId="3203BC4D" w:rsidR="000409BB" w:rsidRDefault="00892ECC" w:rsidP="00892ECC">
      <w:pPr>
        <w:rPr>
          <w14:ligatures w14:val="none"/>
        </w:rPr>
      </w:pPr>
      <w:r>
        <w:t xml:space="preserve">Application : </w:t>
      </w:r>
      <w:r w:rsidR="000409BB">
        <w:t xml:space="preserve">J’ai des données de prix sous forme d’image et je veux les convertir en données </w:t>
      </w:r>
      <w:r>
        <w:t>csv</w:t>
      </w:r>
    </w:p>
    <w:p w14:paraId="71B00A16" w14:textId="77777777" w:rsidR="00700E97" w:rsidRDefault="00700E97" w:rsidP="00700E97">
      <w:pPr>
        <w:rPr>
          <w:rStyle w:val="lev"/>
          <w:b w:val="0"/>
          <w:bCs w:val="0"/>
        </w:rPr>
      </w:pPr>
    </w:p>
    <w:p w14:paraId="0C0A041B" w14:textId="77777777" w:rsidR="00700E97" w:rsidRDefault="00700E97" w:rsidP="00700E97">
      <w:pPr>
        <w:rPr>
          <w:rStyle w:val="lev"/>
          <w:b w:val="0"/>
          <w:bCs w:val="0"/>
        </w:rPr>
      </w:pPr>
    </w:p>
    <w:p w14:paraId="2FEF913A" w14:textId="77777777" w:rsidR="00700E97" w:rsidRDefault="00700E97" w:rsidP="00700E97">
      <w:pPr>
        <w:rPr>
          <w:rStyle w:val="lev"/>
          <w:b w:val="0"/>
          <w:bCs w:val="0"/>
        </w:rPr>
      </w:pPr>
    </w:p>
    <w:p w14:paraId="502CAACA" w14:textId="77777777" w:rsidR="00700E97" w:rsidRDefault="00700E97" w:rsidP="00700E97">
      <w:pPr>
        <w:rPr>
          <w:rStyle w:val="lev"/>
          <w:b w:val="0"/>
          <w:bCs w:val="0"/>
        </w:rPr>
      </w:pPr>
    </w:p>
    <w:p w14:paraId="2171AA74" w14:textId="77777777" w:rsidR="00700E97" w:rsidRDefault="00700E97" w:rsidP="00700E97">
      <w:pPr>
        <w:rPr>
          <w:rStyle w:val="lev"/>
          <w:b w:val="0"/>
          <w:bCs w:val="0"/>
        </w:rPr>
      </w:pPr>
    </w:p>
    <w:p w14:paraId="6FE7CEF2" w14:textId="77777777" w:rsidR="00700E97" w:rsidRDefault="00700E97" w:rsidP="00700E97">
      <w:pPr>
        <w:rPr>
          <w:rStyle w:val="lev"/>
          <w:b w:val="0"/>
          <w:bCs w:val="0"/>
        </w:rPr>
      </w:pPr>
    </w:p>
    <w:p w14:paraId="7CB5D332" w14:textId="77777777" w:rsidR="00700E97" w:rsidRDefault="00700E97" w:rsidP="00700E97">
      <w:pPr>
        <w:rPr>
          <w:rStyle w:val="lev"/>
          <w:b w:val="0"/>
          <w:bCs w:val="0"/>
        </w:rPr>
      </w:pPr>
    </w:p>
    <w:p w14:paraId="10547E47" w14:textId="77777777" w:rsidR="00700E97" w:rsidRDefault="00700E97" w:rsidP="00700E97">
      <w:pPr>
        <w:rPr>
          <w:rStyle w:val="lev"/>
          <w:b w:val="0"/>
          <w:bCs w:val="0"/>
        </w:rPr>
      </w:pPr>
    </w:p>
    <w:p w14:paraId="1D7161E8" w14:textId="77777777" w:rsidR="00700E97" w:rsidRDefault="00700E97" w:rsidP="00700E97">
      <w:pPr>
        <w:rPr>
          <w:rStyle w:val="lev"/>
          <w:b w:val="0"/>
          <w:bCs w:val="0"/>
        </w:rPr>
      </w:pPr>
    </w:p>
    <w:p w14:paraId="3B188C9A" w14:textId="77777777" w:rsidR="00700E97" w:rsidRDefault="00700E97" w:rsidP="00700E97">
      <w:pPr>
        <w:rPr>
          <w:rStyle w:val="lev"/>
          <w:b w:val="0"/>
          <w:bCs w:val="0"/>
        </w:rPr>
      </w:pPr>
    </w:p>
    <w:p w14:paraId="46A60E94" w14:textId="77777777" w:rsidR="00700E97" w:rsidRDefault="00700E97" w:rsidP="00700E97">
      <w:pPr>
        <w:rPr>
          <w:rStyle w:val="lev"/>
          <w:b w:val="0"/>
          <w:bCs w:val="0"/>
        </w:rPr>
      </w:pPr>
    </w:p>
    <w:p w14:paraId="2D146FAE" w14:textId="77777777" w:rsidR="00700E97" w:rsidRDefault="00700E97" w:rsidP="00700E97">
      <w:pPr>
        <w:rPr>
          <w:rStyle w:val="lev"/>
          <w:b w:val="0"/>
          <w:bCs w:val="0"/>
        </w:rPr>
      </w:pPr>
    </w:p>
    <w:p w14:paraId="08FD9FD1" w14:textId="77777777" w:rsidR="00700E97" w:rsidRDefault="00700E97" w:rsidP="00700E97">
      <w:pPr>
        <w:rPr>
          <w:rStyle w:val="lev"/>
          <w:b w:val="0"/>
          <w:bCs w:val="0"/>
        </w:rPr>
      </w:pPr>
    </w:p>
    <w:p w14:paraId="6FFE38DD" w14:textId="77777777" w:rsidR="00700E97" w:rsidRDefault="00700E97" w:rsidP="00700E97">
      <w:pPr>
        <w:rPr>
          <w:rStyle w:val="lev"/>
          <w:b w:val="0"/>
          <w:bCs w:val="0"/>
        </w:rPr>
      </w:pPr>
    </w:p>
    <w:p w14:paraId="39D064F3" w14:textId="77777777" w:rsidR="00700E97" w:rsidRDefault="00700E97" w:rsidP="00700E97">
      <w:pPr>
        <w:rPr>
          <w:rStyle w:val="lev"/>
          <w:b w:val="0"/>
          <w:bCs w:val="0"/>
        </w:rPr>
      </w:pPr>
    </w:p>
    <w:p w14:paraId="2695A7AB" w14:textId="77777777" w:rsidR="00700E97" w:rsidRDefault="00700E97" w:rsidP="00700E97">
      <w:pPr>
        <w:rPr>
          <w:rStyle w:val="lev"/>
          <w:b w:val="0"/>
          <w:bCs w:val="0"/>
        </w:rPr>
      </w:pPr>
    </w:p>
    <w:p w14:paraId="0A88D59C" w14:textId="77777777" w:rsidR="00700E97" w:rsidRDefault="00700E97" w:rsidP="00700E97">
      <w:pPr>
        <w:rPr>
          <w:rStyle w:val="lev"/>
          <w:b w:val="0"/>
          <w:bCs w:val="0"/>
        </w:rPr>
      </w:pPr>
    </w:p>
    <w:p w14:paraId="07C7A520" w14:textId="77777777" w:rsidR="00700E97" w:rsidRDefault="00700E97" w:rsidP="00700E97">
      <w:pPr>
        <w:rPr>
          <w:rStyle w:val="lev"/>
          <w:b w:val="0"/>
          <w:bCs w:val="0"/>
        </w:rPr>
      </w:pPr>
    </w:p>
    <w:p w14:paraId="27DCA455" w14:textId="77777777" w:rsidR="00700E97" w:rsidRDefault="00700E97" w:rsidP="00700E97">
      <w:pPr>
        <w:rPr>
          <w:rStyle w:val="lev"/>
          <w:b w:val="0"/>
          <w:bCs w:val="0"/>
        </w:rPr>
      </w:pPr>
    </w:p>
    <w:p w14:paraId="47D002A7" w14:textId="77777777" w:rsidR="00700E97" w:rsidRDefault="00700E97" w:rsidP="00700E97">
      <w:pPr>
        <w:rPr>
          <w:rStyle w:val="lev"/>
          <w:b w:val="0"/>
          <w:bCs w:val="0"/>
        </w:rPr>
      </w:pPr>
    </w:p>
    <w:p w14:paraId="089522E9" w14:textId="77777777" w:rsidR="00700E97" w:rsidRDefault="00700E97" w:rsidP="00700E97">
      <w:pPr>
        <w:rPr>
          <w:rStyle w:val="lev"/>
          <w:b w:val="0"/>
          <w:bCs w:val="0"/>
        </w:rPr>
      </w:pPr>
    </w:p>
    <w:p w14:paraId="43D819DB" w14:textId="77777777" w:rsidR="00700E97" w:rsidRDefault="00700E97" w:rsidP="00700E97">
      <w:pPr>
        <w:rPr>
          <w:rStyle w:val="lev"/>
          <w:b w:val="0"/>
          <w:bCs w:val="0"/>
        </w:rPr>
      </w:pPr>
    </w:p>
    <w:p w14:paraId="35365D42" w14:textId="77777777" w:rsidR="00700E97" w:rsidRDefault="00700E97" w:rsidP="00700E97">
      <w:pPr>
        <w:rPr>
          <w:rStyle w:val="lev"/>
          <w:b w:val="0"/>
          <w:bCs w:val="0"/>
        </w:rPr>
      </w:pPr>
    </w:p>
    <w:p w14:paraId="1DEF0775" w14:textId="77777777" w:rsidR="00700E97" w:rsidRDefault="00700E97" w:rsidP="00700E97">
      <w:pPr>
        <w:rPr>
          <w:rStyle w:val="lev"/>
          <w:b w:val="0"/>
          <w:bCs w:val="0"/>
        </w:rPr>
      </w:pPr>
    </w:p>
    <w:p w14:paraId="24993EEB" w14:textId="77777777" w:rsidR="00700E97" w:rsidRDefault="00700E97" w:rsidP="00700E97">
      <w:pPr>
        <w:rPr>
          <w:rStyle w:val="lev"/>
          <w:b w:val="0"/>
          <w:bCs w:val="0"/>
        </w:rPr>
      </w:pPr>
    </w:p>
    <w:p w14:paraId="3C76E354" w14:textId="77777777" w:rsidR="00700E97" w:rsidRDefault="00700E97" w:rsidP="00700E97">
      <w:pPr>
        <w:rPr>
          <w:rStyle w:val="lev"/>
          <w:b w:val="0"/>
          <w:bCs w:val="0"/>
        </w:rPr>
      </w:pPr>
    </w:p>
    <w:p w14:paraId="54942EFD" w14:textId="77777777" w:rsidR="00700E97" w:rsidRDefault="00700E97" w:rsidP="00700E97">
      <w:pPr>
        <w:rPr>
          <w:rStyle w:val="lev"/>
          <w:b w:val="0"/>
          <w:bCs w:val="0"/>
        </w:rPr>
      </w:pPr>
    </w:p>
    <w:p w14:paraId="29ABE074" w14:textId="77777777" w:rsidR="00700E97" w:rsidRDefault="00700E97" w:rsidP="00700E97">
      <w:pPr>
        <w:rPr>
          <w:rStyle w:val="lev"/>
          <w:b w:val="0"/>
          <w:bCs w:val="0"/>
        </w:rPr>
      </w:pPr>
    </w:p>
    <w:p w14:paraId="2B2F214B" w14:textId="77777777" w:rsidR="00700E97" w:rsidRDefault="00700E97" w:rsidP="00700E97">
      <w:pPr>
        <w:rPr>
          <w:rStyle w:val="lev"/>
          <w:b w:val="0"/>
          <w:bCs w:val="0"/>
        </w:rPr>
      </w:pPr>
    </w:p>
    <w:p w14:paraId="554587F2" w14:textId="77777777" w:rsidR="00700E97" w:rsidRDefault="00700E97" w:rsidP="00700E97">
      <w:pPr>
        <w:rPr>
          <w:rStyle w:val="lev"/>
          <w:b w:val="0"/>
          <w:bCs w:val="0"/>
        </w:rPr>
      </w:pPr>
    </w:p>
    <w:p w14:paraId="46551403" w14:textId="77777777" w:rsidR="00700E97" w:rsidRDefault="00700E97" w:rsidP="00700E97">
      <w:pPr>
        <w:rPr>
          <w:rStyle w:val="lev"/>
          <w:b w:val="0"/>
          <w:bCs w:val="0"/>
        </w:rPr>
      </w:pPr>
    </w:p>
    <w:p w14:paraId="5BBE5910" w14:textId="77777777" w:rsidR="00700E97" w:rsidRDefault="00700E97" w:rsidP="00700E97">
      <w:pPr>
        <w:rPr>
          <w:rStyle w:val="lev"/>
          <w:b w:val="0"/>
          <w:bCs w:val="0"/>
        </w:rPr>
      </w:pPr>
    </w:p>
    <w:p w14:paraId="2E65ABF9" w14:textId="77777777" w:rsidR="00700E97" w:rsidRDefault="00700E97" w:rsidP="00700E97">
      <w:pPr>
        <w:rPr>
          <w:rStyle w:val="lev"/>
          <w:b w:val="0"/>
          <w:bCs w:val="0"/>
        </w:rPr>
      </w:pPr>
    </w:p>
    <w:p w14:paraId="7F8BC6B1" w14:textId="77777777" w:rsidR="00700E97" w:rsidRDefault="00700E97" w:rsidP="00700E97">
      <w:pPr>
        <w:rPr>
          <w:rStyle w:val="lev"/>
          <w:b w:val="0"/>
          <w:bCs w:val="0"/>
        </w:rPr>
      </w:pPr>
    </w:p>
    <w:p w14:paraId="6806F6B1" w14:textId="77777777" w:rsidR="00700E97" w:rsidRDefault="00700E97" w:rsidP="00700E97">
      <w:pPr>
        <w:rPr>
          <w:rStyle w:val="lev"/>
          <w:b w:val="0"/>
          <w:bCs w:val="0"/>
        </w:rPr>
      </w:pPr>
    </w:p>
    <w:p w14:paraId="2F4FF33D" w14:textId="77777777" w:rsidR="00700E97" w:rsidRDefault="00700E97" w:rsidP="00700E97">
      <w:pPr>
        <w:rPr>
          <w:rStyle w:val="lev"/>
          <w:b w:val="0"/>
          <w:bCs w:val="0"/>
        </w:rPr>
      </w:pPr>
    </w:p>
    <w:p w14:paraId="2C168343" w14:textId="77777777" w:rsidR="00700E97" w:rsidRDefault="00700E97" w:rsidP="00700E97">
      <w:pPr>
        <w:rPr>
          <w:rStyle w:val="lev"/>
          <w:b w:val="0"/>
          <w:bCs w:val="0"/>
        </w:rPr>
      </w:pPr>
    </w:p>
    <w:p w14:paraId="51F6A181" w14:textId="77777777" w:rsidR="00700E97" w:rsidRDefault="00700E97" w:rsidP="00700E97">
      <w:pPr>
        <w:rPr>
          <w:rStyle w:val="lev"/>
          <w:b w:val="0"/>
          <w:bCs w:val="0"/>
        </w:rPr>
      </w:pPr>
    </w:p>
    <w:p w14:paraId="7947E2CB" w14:textId="5F49E8E0" w:rsidR="004210D8" w:rsidRDefault="004210D8" w:rsidP="004210D8">
      <w:pPr>
        <w:pStyle w:val="Titre1"/>
        <w:rPr>
          <w:sz w:val="27"/>
        </w:rPr>
      </w:pPr>
      <w:r>
        <w:rPr>
          <w:rStyle w:val="lev"/>
          <w:b/>
          <w:bCs w:val="0"/>
        </w:rPr>
        <w:t>Hypothèses de Recherche</w:t>
      </w:r>
      <w:bookmarkEnd w:id="7"/>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8" w:name="_Toc191556792"/>
      <w:r>
        <w:rPr>
          <w:rStyle w:val="lev"/>
          <w:b/>
          <w:bCs w:val="0"/>
        </w:rPr>
        <w:lastRenderedPageBreak/>
        <w:t>Projet de Méthodologie</w:t>
      </w:r>
      <w:bookmarkEnd w:id="8"/>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9" w:name="_Toc191556793"/>
      <w:r w:rsidRPr="004210D8">
        <w:rPr>
          <w:rStyle w:val="lev"/>
          <w:b/>
          <w:bCs/>
        </w:rPr>
        <w:t>1. Analyse des Facteurs Clés et Collecte de Données</w:t>
      </w:r>
      <w:bookmarkEnd w:id="9"/>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0" w:name="_Toc191556794"/>
      <w:r w:rsidRPr="004210D8">
        <w:rPr>
          <w:rStyle w:val="lev"/>
          <w:b/>
          <w:bCs/>
        </w:rPr>
        <w:t>2. Développement de Modèles Prédictifs</w:t>
      </w:r>
      <w:bookmarkEnd w:id="10"/>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r w:rsidRPr="004210D8">
        <w:rPr>
          <w:rStyle w:val="lev"/>
          <w:b w:val="0"/>
          <w:bCs w:val="0"/>
        </w:rPr>
        <w:lastRenderedPageBreak/>
        <w:t xml:space="preserve">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1" w:name="_Toc191556795"/>
      <w:r w:rsidRPr="004210D8">
        <w:rPr>
          <w:rStyle w:val="lev"/>
          <w:b/>
          <w:bCs/>
        </w:rPr>
        <w:t>3. Intégration des Prévisions avec l'Optimisation Logistique</w:t>
      </w:r>
      <w:bookmarkEnd w:id="11"/>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2" w:name="_Toc191556796"/>
      <w:r>
        <w:rPr>
          <w:lang w:val="en-US"/>
        </w:rPr>
        <w:t xml:space="preserve">Table des </w:t>
      </w:r>
      <w:r w:rsidR="00AA44A1">
        <w:rPr>
          <w:lang w:val="en-US"/>
        </w:rPr>
        <w:t>Figures</w:t>
      </w:r>
      <w:bookmarkEnd w:id="12"/>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000000">
      <w:pPr>
        <w:pStyle w:val="Tabledesillustrations"/>
        <w:tabs>
          <w:tab w:val="right" w:leader="underscore" w:pos="9062"/>
        </w:tabs>
        <w:rPr>
          <w:sz w:val="22"/>
          <w:szCs w:val="20"/>
        </w:rPr>
      </w:pPr>
      <w:hyperlink w:anchor="_Toc193878094" w:history="1">
        <w:r w:rsidR="00996B23" w:rsidRPr="00996B23">
          <w:rPr>
            <w:sz w:val="22"/>
            <w:szCs w:val="20"/>
          </w:rPr>
          <w:t>Figure 2: Évolution des Prix du Polysilicium (Sources : bernreuter)</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_Toc193878094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66D577EE" w14:textId="0B8DD044" w:rsidR="00996B23" w:rsidRPr="00996B23" w:rsidRDefault="00000000">
      <w:pPr>
        <w:pStyle w:val="Tabledesillustrations"/>
        <w:tabs>
          <w:tab w:val="right" w:leader="underscore" w:pos="9062"/>
        </w:tabs>
        <w:rPr>
          <w:sz w:val="22"/>
          <w:szCs w:val="20"/>
        </w:rPr>
      </w:pPr>
      <w:hyperlink w:anchor="_Toc193878095" w:history="1">
        <w:r w:rsidR="00996B23" w:rsidRPr="00996B23">
          <w:rPr>
            <w:sz w:val="22"/>
            <w:szCs w:val="20"/>
          </w:rPr>
          <w:t>Figure 3 : Répartition géographique de la capacité de production pour les principales étapes de la chaîne de valeur photovoltaïque, 2022                                                                                                                                                                                  (Sources :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_Toc193878095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2666E3B8" w14:textId="3B28C8EF" w:rsidR="00996B23" w:rsidRPr="00996B23" w:rsidRDefault="00000000">
      <w:pPr>
        <w:pStyle w:val="Tabledesillustrations"/>
        <w:tabs>
          <w:tab w:val="right" w:leader="underscore" w:pos="9062"/>
        </w:tabs>
        <w:rPr>
          <w:sz w:val="22"/>
          <w:szCs w:val="20"/>
        </w:rPr>
      </w:pPr>
      <w:hyperlink w:anchor="_Toc193878096" w:history="1">
        <w:r w:rsidR="00996B23" w:rsidRPr="00996B23">
          <w:rPr>
            <w:sz w:val="22"/>
            <w:szCs w:val="20"/>
          </w:rPr>
          <w:t>Figure 4 : Comparatif issu du livre blanc "Intelligence Artificielle : restez maitre de votre futur" réalisé par Business &amp; Decision (groupe Orange). © Business &amp; Decision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_Toc193878096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7</w:t>
        </w:r>
        <w:r w:rsidR="00996B23" w:rsidRPr="00996B23">
          <w:rPr>
            <w:webHidden/>
            <w:sz w:val="22"/>
            <w:szCs w:val="20"/>
          </w:rPr>
          <w:fldChar w:fldCharType="end"/>
        </w:r>
      </w:hyperlink>
    </w:p>
    <w:p w14:paraId="543ABFCB" w14:textId="74FC56FB" w:rsidR="00996B23" w:rsidRPr="00996B23" w:rsidRDefault="00000000">
      <w:pPr>
        <w:pStyle w:val="Tabledesillustrations"/>
        <w:tabs>
          <w:tab w:val="right" w:leader="underscore" w:pos="9062"/>
        </w:tabs>
        <w:rPr>
          <w:sz w:val="22"/>
          <w:szCs w:val="20"/>
        </w:rPr>
      </w:pPr>
      <w:hyperlink w:anchor="_Toc193878097" w:history="1">
        <w:r w:rsidR="00996B23" w:rsidRPr="00996B23">
          <w:rPr>
            <w:sz w:val="22"/>
            <w:szCs w:val="20"/>
          </w:rPr>
          <w:t>Figure 5: Structure d'une Cellule Solaire TOPCon à Base de Silicium Monocristallin de Type 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_Toc193878097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9</w:t>
        </w:r>
        <w:r w:rsidR="00996B23"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lastRenderedPageBreak/>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971CCC">
      <w:pPr>
        <w:pStyle w:val="Titre1"/>
        <w:rPr>
          <w:lang w:val="en-US"/>
        </w:rPr>
      </w:pPr>
      <w:bookmarkStart w:id="13" w:name="_Toc191556797"/>
      <w:proofErr w:type="spellStart"/>
      <w:r w:rsidRPr="00700102">
        <w:rPr>
          <w:lang w:val="en-US"/>
        </w:rPr>
        <w:t>Bibliographie</w:t>
      </w:r>
      <w:bookmarkEnd w:id="13"/>
      <w:proofErr w:type="spellEnd"/>
    </w:p>
    <w:p w14:paraId="7FC4E93B" w14:textId="77777777" w:rsidR="004861C1" w:rsidRDefault="00971CCC" w:rsidP="00945860">
      <w:r w:rsidRPr="00700102">
        <w:rPr>
          <w:lang w:val="en-US"/>
        </w:rPr>
        <w:br/>
        <w:t>- Becquerel Institute. (2023). Building Resilient Global Solar PV Supply Chains.</w:t>
      </w:r>
      <w:r w:rsidRPr="00700102">
        <w:rPr>
          <w:lang w:val="en-US"/>
        </w:rPr>
        <w:br/>
        <w:t>- IEA PVPS. (2022). Market evolution of the top solar PV 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xml:space="preserve">- Articles académiques sur l'application du Machine Learning dans la </w:t>
      </w:r>
      <w:proofErr w:type="spellStart"/>
      <w:r>
        <w:t>supply</w:t>
      </w:r>
      <w:proofErr w:type="spellEnd"/>
      <w:r>
        <w:t xml:space="preserve"> </w:t>
      </w:r>
      <w:proofErr w:type="spellStart"/>
      <w:r>
        <w:t>chain</w:t>
      </w:r>
      <w:proofErr w:type="spellEnd"/>
      <w:r>
        <w:t>.</w:t>
      </w:r>
    </w:p>
    <w:p w14:paraId="29F1220C" w14:textId="7804AA9B" w:rsidR="00E36B79" w:rsidRDefault="004861C1" w:rsidP="00945860">
      <w:pPr>
        <w:rPr>
          <w:lang w:val="en-US"/>
        </w:rPr>
      </w:pPr>
      <w:r w:rsidRPr="004861C1">
        <w:rPr>
          <w:lang w:val="en-US"/>
        </w:rPr>
        <w:t xml:space="preserve">- </w:t>
      </w:r>
      <w:r w:rsidR="006C2821" w:rsidRPr="006C2821">
        <w:rPr>
          <w:lang w:val="en-US"/>
        </w:rPr>
        <w:t xml:space="preserve">U.S. Department of Energy. (2022). *Solar photovoltaics supply chain deep dive assessment*. Office of Policy, U.S. Department of Energy. </w:t>
      </w:r>
      <w:hyperlink r:id="rId23" w:history="1">
        <w:r w:rsidR="00E36B79" w:rsidRPr="00E528DF">
          <w:rPr>
            <w:rStyle w:val="Lienhypertexte"/>
            <w:lang w:val="en-US"/>
          </w:rPr>
          <w:t>https://www.energy.gov/sites/default/files/2024-12/Solar%20Energy%20Supply%20Chain%20Report%20-%20Final.pdf</w:t>
        </w:r>
      </w:hyperlink>
    </w:p>
    <w:p w14:paraId="61BF55CF" w14:textId="6502D24B" w:rsidR="00E36B79" w:rsidRDefault="004143AB" w:rsidP="00945860">
      <w:pPr>
        <w:rPr>
          <w:lang w:val="en-US"/>
        </w:rPr>
      </w:pPr>
      <w:r>
        <w:rPr>
          <w:lang w:val="en-US"/>
        </w:rPr>
        <w:lastRenderedPageBreak/>
        <w:t xml:space="preserve">- </w:t>
      </w:r>
      <w:proofErr w:type="spellStart"/>
      <w:r w:rsidR="00E36B79" w:rsidRPr="00E36B79">
        <w:rPr>
          <w:lang w:val="en-US"/>
        </w:rPr>
        <w:t>Kose</w:t>
      </w:r>
      <w:proofErr w:type="spellEnd"/>
      <w:r w:rsidR="00E36B79" w:rsidRPr="00E36B79">
        <w:rPr>
          <w:lang w:val="en-US"/>
        </w:rPr>
        <w:t xml:space="preserve">, H., </w:t>
      </w:r>
      <w:proofErr w:type="spellStart"/>
      <w:r w:rsidR="00E36B79" w:rsidRPr="00E36B79">
        <w:rPr>
          <w:lang w:val="en-US"/>
        </w:rPr>
        <w:t>Deilami</w:t>
      </w:r>
      <w:proofErr w:type="spellEnd"/>
      <w:r w:rsidR="00E36B79" w:rsidRPr="00E36B79">
        <w:rPr>
          <w:lang w:val="en-US"/>
        </w:rPr>
        <w:t xml:space="preserve">, S., &amp; Shah, S. (2023). Price volatility of precious metals and implications for green technologies. *Journal of Cleaner Production*, 396, 136445. </w:t>
      </w:r>
      <w:hyperlink r:id="rId24" w:history="1">
        <w:r w:rsidR="00E36B79" w:rsidRPr="00E528DF">
          <w:rPr>
            <w:rStyle w:val="Lienhypertexte"/>
            <w:lang w:val="en-US"/>
          </w:rPr>
          <w:t>https://doi.org/10.1016/j.jclepro.2023.136445</w:t>
        </w:r>
      </w:hyperlink>
    </w:p>
    <w:p w14:paraId="61113791" w14:textId="3E1D12E7" w:rsidR="00A36380" w:rsidRDefault="00A36380" w:rsidP="00945860">
      <w:pPr>
        <w:rPr>
          <w:lang w:val="en-US"/>
        </w:rPr>
      </w:pPr>
      <w:r>
        <w:rPr>
          <w:lang w:val="en-US"/>
        </w:rPr>
        <w:t xml:space="preserve">- </w:t>
      </w:r>
      <w:r w:rsidRPr="00A36380">
        <w:rPr>
          <w:lang w:val="en-US"/>
        </w:rPr>
        <w:t xml:space="preserve">Zhang, Y. (2023). Roadmap towards 1 mg/W silver consumption for industrial high-efficiency screen-printed silicon solar cells. Paper presented at the Asia-Pacific Solar Research Conference 2023. </w:t>
      </w:r>
      <w:hyperlink r:id="rId25" w:history="1">
        <w:r w:rsidRPr="00E528DF">
          <w:rPr>
            <w:rStyle w:val="Lienhypertexte"/>
            <w:lang w:val="en-US"/>
          </w:rPr>
          <w:t>https://apvi.org.au/solar-research-conference/wp-content/uploads/2023/12/Zhang-Y-Roadmap-towards-1-mgW-Silver-Consumption-for-Industrial-High-Efficiency-Screen-Printed-Silicon-Solar-Cells.pdf</w:t>
        </w:r>
      </w:hyperlink>
    </w:p>
    <w:p w14:paraId="0FE46129" w14:textId="77777777" w:rsidR="00C33077" w:rsidRPr="00C33077" w:rsidRDefault="00A36380" w:rsidP="00C33077">
      <w:pPr>
        <w:rPr>
          <w:rFonts w:ascii="Georgia" w:hAnsi="Georgia"/>
          <w:color w:val="1F1F1F"/>
          <w:sz w:val="48"/>
          <w:lang w:val="en-US"/>
        </w:rPr>
      </w:pPr>
      <w:r>
        <w:rPr>
          <w:lang w:val="en-US"/>
        </w:rPr>
        <w:t xml:space="preserve">- </w:t>
      </w:r>
      <w:r w:rsidR="00C33077" w:rsidRPr="00C33077">
        <w:rPr>
          <w:lang w:val="en-US"/>
        </w:rPr>
        <w:t>Copper demand, supply, and associated energy use to 2050</w:t>
      </w:r>
    </w:p>
    <w:p w14:paraId="7934686F" w14:textId="77777777" w:rsidR="00E50F6E" w:rsidRDefault="00000000" w:rsidP="00E50F6E">
      <w:pPr>
        <w:rPr>
          <w:lang w:val="en-US"/>
        </w:rPr>
      </w:pPr>
      <w:hyperlink r:id="rId26" w:history="1">
        <w:r w:rsidR="008E210B" w:rsidRPr="008F3A74">
          <w:rPr>
            <w:rStyle w:val="Lienhypertexte"/>
            <w:lang w:val="en-US"/>
          </w:rPr>
          <w:t>https://www.sciencedirect.com/science/article/abs/pii/S0959378016300802</w:t>
        </w:r>
      </w:hyperlink>
    </w:p>
    <w:p w14:paraId="12809992" w14:textId="028AF7C0" w:rsidR="008E210B" w:rsidRDefault="00E50F6E" w:rsidP="00E50F6E">
      <w:pPr>
        <w:rPr>
          <w:lang w:val="en-US"/>
        </w:rPr>
      </w:pPr>
      <w:r w:rsidRPr="00E50F6E">
        <w:rPr>
          <w:lang w:val="en-US"/>
        </w:rPr>
        <w:t>-</w:t>
      </w:r>
      <w:r>
        <w:rPr>
          <w:lang w:val="en-US"/>
        </w:rPr>
        <w:t xml:space="preserve"> </w:t>
      </w:r>
      <w:r w:rsidR="00E81B71" w:rsidRPr="00E50F6E">
        <w:rPr>
          <w:lang w:val="en-US"/>
        </w:rPr>
        <w:t xml:space="preserve">European </w:t>
      </w:r>
      <w:proofErr w:type="spellStart"/>
      <w:r w:rsidR="00E81B71" w:rsidRPr="00E50F6E">
        <w:rPr>
          <w:lang w:val="en-US"/>
        </w:rPr>
        <w:t>Aluminium</w:t>
      </w:r>
      <w:proofErr w:type="spellEnd"/>
      <w:r w:rsidR="00E81B71" w:rsidRPr="00E50F6E">
        <w:rPr>
          <w:lang w:val="en-US"/>
        </w:rPr>
        <w:t xml:space="preserve"> </w:t>
      </w:r>
      <w:hyperlink r:id="rId27" w:history="1">
        <w:r w:rsidR="00C66F7C" w:rsidRPr="008F3A74">
          <w:rPr>
            <w:rStyle w:val="Lienhypertexte"/>
            <w:lang w:val="en-US"/>
          </w:rPr>
          <w:t>https://european-aluminium.eu/blog/vision2050</w:t>
        </w:r>
      </w:hyperlink>
    </w:p>
    <w:p w14:paraId="5C666ED8" w14:textId="46E6A40B" w:rsidR="00C66F7C" w:rsidRPr="00C66F7C"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(2020). </w:t>
      </w:r>
      <w:r w:rsidRPr="00C66F7C">
        <w:rPr>
          <w:rStyle w:val="Accentuation"/>
          <w:lang w:val="en-US"/>
        </w:rPr>
        <w:t xml:space="preserve">Outlook for </w:t>
      </w:r>
      <w:proofErr w:type="spellStart"/>
      <w:r w:rsidRPr="00C66F7C">
        <w:rPr>
          <w:rStyle w:val="Accentuation"/>
          <w:lang w:val="en-US"/>
        </w:rPr>
        <w:t>Aluminium</w:t>
      </w:r>
      <w:proofErr w:type="spellEnd"/>
      <w:r w:rsidRPr="00C66F7C">
        <w:rPr>
          <w:rStyle w:val="Accentuation"/>
          <w:lang w:val="en-US"/>
        </w:rPr>
        <w:t xml:space="preserve"> Demand to 2050</w:t>
      </w:r>
      <w:r w:rsidRPr="00C66F7C">
        <w:rPr>
          <w:lang w:val="en-US"/>
        </w:rPr>
        <w:t>. CM Group.</w:t>
      </w:r>
      <w:r w:rsidRPr="00C66F7C">
        <w:rPr>
          <w:lang w:val="en-US"/>
        </w:rPr>
        <w:br/>
        <w:t>https://international-aluminium.org/wp-content/uploads/2024/03/cm_2050_outlook_for_al_demand_20200528_4wycD18.pdf</w:t>
      </w:r>
    </w:p>
    <w:p w14:paraId="60B7466F" w14:textId="67A7BF5D" w:rsidR="00C66F7C" w:rsidRPr="00C66F7C" w:rsidRDefault="00C66F7C" w:rsidP="00C66F7C">
      <w:pPr>
        <w:rPr>
          <w:lang w:val="en-US"/>
        </w:rPr>
      </w:pPr>
      <w:r w:rsidRPr="00C66F7C">
        <w:rPr>
          <w:rStyle w:val="lev"/>
          <w:lang w:val="en-US"/>
        </w:rPr>
        <w:t xml:space="preserve">Xu, M., Zhao, F., </w:t>
      </w:r>
      <w:proofErr w:type="spellStart"/>
      <w:r w:rsidRPr="00C66F7C">
        <w:rPr>
          <w:rStyle w:val="lev"/>
          <w:lang w:val="en-US"/>
        </w:rPr>
        <w:t>Lv</w:t>
      </w:r>
      <w:proofErr w:type="spellEnd"/>
      <w:r w:rsidRPr="00C66F7C">
        <w:rPr>
          <w:rStyle w:val="lev"/>
          <w:lang w:val="en-US"/>
        </w:rPr>
        <w:t>, Y., &amp; Li, M.</w:t>
      </w:r>
      <w:r w:rsidRPr="00C66F7C">
        <w:rPr>
          <w:lang w:val="en-US"/>
        </w:rPr>
        <w:t xml:space="preserve"> (2021). Material requirements and environmental implications of a 60 TW photovoltaic deployment by 2050. </w:t>
      </w:r>
      <w:r w:rsidRPr="00C66F7C">
        <w:rPr>
          <w:rStyle w:val="Accentuation"/>
          <w:lang w:val="en-US"/>
        </w:rPr>
        <w:t>Nature Sustainability, 4</w:t>
      </w:r>
      <w:r w:rsidRPr="00C66F7C">
        <w:rPr>
          <w:lang w:val="en-US"/>
        </w:rPr>
        <w:t>(5), 431–439.</w:t>
      </w:r>
      <w:r w:rsidRPr="00C66F7C">
        <w:rPr>
          <w:lang w:val="en-US"/>
        </w:rPr>
        <w:br/>
      </w:r>
      <w:hyperlink r:id="rId28" w:tgtFrame="_new" w:history="1">
        <w:r w:rsidRPr="00C66F7C">
          <w:rPr>
            <w:rStyle w:val="Lienhypertexte"/>
            <w:lang w:val="en-US"/>
          </w:rPr>
          <w:t>https://www.nature.com/articles/s41893-021-00838-9</w:t>
        </w:r>
      </w:hyperlink>
    </w:p>
    <w:p w14:paraId="7215F4BA" w14:textId="1E1CACB7" w:rsidR="00C66F7C" w:rsidRPr="00C66F7C"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(2021). </w:t>
      </w:r>
      <w:proofErr w:type="spellStart"/>
      <w:r w:rsidRPr="00C66F7C">
        <w:rPr>
          <w:rStyle w:val="Accentuation"/>
          <w:lang w:val="en-US"/>
        </w:rPr>
        <w:t>Aluminium</w:t>
      </w:r>
      <w:proofErr w:type="spellEnd"/>
      <w:r w:rsidRPr="00C66F7C">
        <w:rPr>
          <w:rStyle w:val="Accentuation"/>
          <w:lang w:val="en-US"/>
        </w:rPr>
        <w:t xml:space="preserve"> recycling saves 95% of the energy needed for primary </w:t>
      </w:r>
      <w:proofErr w:type="spellStart"/>
      <w:r w:rsidRPr="00C66F7C">
        <w:rPr>
          <w:rStyle w:val="Accentuation"/>
          <w:lang w:val="en-US"/>
        </w:rPr>
        <w:t>aluminium</w:t>
      </w:r>
      <w:proofErr w:type="spellEnd"/>
      <w:r w:rsidRPr="00C66F7C">
        <w:rPr>
          <w:rStyle w:val="Accentuation"/>
          <w:lang w:val="en-US"/>
        </w:rPr>
        <w:t xml:space="preserve"> production</w:t>
      </w:r>
      <w:r w:rsidRPr="00C66F7C">
        <w:rPr>
          <w:lang w:val="en-US"/>
        </w:rPr>
        <w:t>.</w:t>
      </w:r>
      <w:r w:rsidRPr="00C66F7C">
        <w:rPr>
          <w:lang w:val="en-US"/>
        </w:rPr>
        <w:br/>
        <w:t>https://international-aluminium.org/landing/aluminium-recycling-saves-95-of-the-energy-needed-for-primary-aluminium-production/</w:t>
      </w:r>
    </w:p>
    <w:p w14:paraId="4F5A6CB2" w14:textId="27C55F9D" w:rsidR="00C66F7C" w:rsidRPr="00C66F7C" w:rsidRDefault="00C66F7C" w:rsidP="00C66F7C">
      <w:pPr>
        <w:rPr>
          <w:lang w:val="en-US"/>
        </w:rPr>
      </w:pPr>
      <w:r w:rsidRPr="00C66F7C">
        <w:rPr>
          <w:rStyle w:val="lev"/>
          <w:lang w:val="en-US"/>
        </w:rPr>
        <w:t xml:space="preserve">European </w:t>
      </w:r>
      <w:proofErr w:type="spellStart"/>
      <w:r w:rsidRPr="00C66F7C">
        <w:rPr>
          <w:rStyle w:val="lev"/>
          <w:lang w:val="en-US"/>
        </w:rPr>
        <w:t>Aluminium</w:t>
      </w:r>
      <w:proofErr w:type="spellEnd"/>
      <w:r w:rsidRPr="00C66F7C">
        <w:rPr>
          <w:rStyle w:val="lev"/>
          <w:lang w:val="en-US"/>
        </w:rPr>
        <w:t>.</w:t>
      </w:r>
      <w:r w:rsidRPr="00C66F7C">
        <w:rPr>
          <w:lang w:val="en-US"/>
        </w:rPr>
        <w:t xml:space="preserve"> (2023). </w:t>
      </w:r>
      <w:r w:rsidRPr="00C66F7C">
        <w:rPr>
          <w:rStyle w:val="Accentuation"/>
          <w:lang w:val="en-US"/>
        </w:rPr>
        <w:t xml:space="preserve">Net Zero by 2050: Science-based </w:t>
      </w:r>
      <w:proofErr w:type="spellStart"/>
      <w:r w:rsidRPr="00C66F7C">
        <w:rPr>
          <w:rStyle w:val="Accentuation"/>
          <w:lang w:val="en-US"/>
        </w:rPr>
        <w:t>decarbonisation</w:t>
      </w:r>
      <w:proofErr w:type="spellEnd"/>
      <w:r w:rsidRPr="00C66F7C">
        <w:rPr>
          <w:rStyle w:val="Accentuation"/>
          <w:lang w:val="en-US"/>
        </w:rPr>
        <w:t xml:space="preserve"> pathways for the European </w:t>
      </w:r>
      <w:proofErr w:type="spellStart"/>
      <w:r w:rsidRPr="00C66F7C">
        <w:rPr>
          <w:rStyle w:val="Accentuation"/>
          <w:lang w:val="en-US"/>
        </w:rPr>
        <w:t>aluminium</w:t>
      </w:r>
      <w:proofErr w:type="spellEnd"/>
      <w:r w:rsidRPr="00C66F7C">
        <w:rPr>
          <w:rStyle w:val="Accentuation"/>
          <w:lang w:val="en-US"/>
        </w:rPr>
        <w:t xml:space="preserve"> industry</w:t>
      </w:r>
      <w:r w:rsidRPr="00C66F7C">
        <w:rPr>
          <w:lang w:val="en-US"/>
        </w:rPr>
        <w:t>.</w:t>
      </w:r>
      <w:r w:rsidRPr="00C66F7C">
        <w:rPr>
          <w:lang w:val="en-US"/>
        </w:rPr>
        <w:br/>
        <w:t>https://european-aluminium.eu/wp-content/uploads/2023/11/23-11-14-Net-Zero-by-2050-Science-based-Decarbonisation-Pathways-for-the-European-Aluminium-Industry_FULL-REPORT.pdf</w:t>
      </w:r>
    </w:p>
    <w:p w14:paraId="7934AAE1" w14:textId="5D639496" w:rsidR="00C66F7C" w:rsidRPr="00C66F7C" w:rsidRDefault="00C66F7C" w:rsidP="00C66F7C">
      <w:pPr>
        <w:rPr>
          <w:lang w:val="en-US"/>
        </w:rPr>
      </w:pPr>
      <w:r w:rsidRPr="00C66F7C">
        <w:rPr>
          <w:rStyle w:val="lev"/>
          <w:lang w:val="en-US"/>
        </w:rPr>
        <w:t>World Economic Forum.</w:t>
      </w:r>
      <w:r w:rsidRPr="00C66F7C">
        <w:rPr>
          <w:lang w:val="en-US"/>
        </w:rPr>
        <w:t xml:space="preserve"> (2023). </w:t>
      </w:r>
      <w:r w:rsidRPr="00C66F7C">
        <w:rPr>
          <w:rStyle w:val="Accentuation"/>
          <w:lang w:val="en-US"/>
        </w:rPr>
        <w:t xml:space="preserve">Net Zero Industry Tracker 2023: </w:t>
      </w:r>
      <w:proofErr w:type="spellStart"/>
      <w:r w:rsidRPr="00C66F7C">
        <w:rPr>
          <w:rStyle w:val="Accentuation"/>
          <w:lang w:val="en-US"/>
        </w:rPr>
        <w:t>Aluminium</w:t>
      </w:r>
      <w:proofErr w:type="spellEnd"/>
      <w:r w:rsidRPr="00C66F7C">
        <w:rPr>
          <w:rStyle w:val="Accentuation"/>
          <w:lang w:val="en-US"/>
        </w:rPr>
        <w:t xml:space="preserve"> sector</w:t>
      </w:r>
      <w:r w:rsidRPr="00C66F7C">
        <w:rPr>
          <w:lang w:val="en-US"/>
        </w:rPr>
        <w:t>.</w:t>
      </w:r>
      <w:r w:rsidRPr="00C66F7C">
        <w:rPr>
          <w:lang w:val="en-US"/>
        </w:rPr>
        <w:br/>
        <w:t>https://www.weforum.org/publications/net-zero-industry-tracker-2023/in/full/aluminium-industry-net-zero-tracker/</w:t>
      </w:r>
    </w:p>
    <w:p w14:paraId="0D8503E3" w14:textId="1FAA7FA8" w:rsidR="00C66F7C" w:rsidRPr="00F13443" w:rsidRDefault="00C66F7C" w:rsidP="00C66F7C">
      <w:pPr>
        <w:rPr>
          <w:lang w:val="en-US"/>
        </w:rPr>
      </w:pPr>
      <w:r w:rsidRPr="00C66F7C">
        <w:rPr>
          <w:rStyle w:val="lev"/>
          <w:lang w:val="en-US"/>
        </w:rPr>
        <w:t xml:space="preserve">International </w:t>
      </w:r>
      <w:proofErr w:type="spellStart"/>
      <w:r w:rsidRPr="00C66F7C">
        <w:rPr>
          <w:rStyle w:val="lev"/>
          <w:lang w:val="en-US"/>
        </w:rPr>
        <w:t>Aluminium</w:t>
      </w:r>
      <w:proofErr w:type="spellEnd"/>
      <w:r w:rsidRPr="00C66F7C">
        <w:rPr>
          <w:rStyle w:val="lev"/>
          <w:lang w:val="en-US"/>
        </w:rPr>
        <w:t xml:space="preserve"> Institute.</w:t>
      </w:r>
      <w:r w:rsidRPr="00C66F7C">
        <w:rPr>
          <w:lang w:val="en-US"/>
        </w:rPr>
        <w:t xml:space="preserve"> (2022). </w:t>
      </w:r>
      <w:proofErr w:type="spellStart"/>
      <w:r w:rsidRPr="00C66F7C">
        <w:rPr>
          <w:rStyle w:val="Accentuation"/>
          <w:lang w:val="en-US"/>
        </w:rPr>
        <w:t>Aluminium</w:t>
      </w:r>
      <w:proofErr w:type="spellEnd"/>
      <w:r w:rsidRPr="00C66F7C">
        <w:rPr>
          <w:rStyle w:val="Accentuation"/>
          <w:lang w:val="en-US"/>
        </w:rPr>
        <w:t xml:space="preserve"> industry backs action this decade for net-zero by 2050</w:t>
      </w:r>
      <w:r w:rsidRPr="00C66F7C">
        <w:rPr>
          <w:lang w:val="en-US"/>
        </w:rPr>
        <w:t>.</w:t>
      </w:r>
      <w:r w:rsidRPr="00C66F7C">
        <w:rPr>
          <w:lang w:val="en-US"/>
        </w:rPr>
        <w:br/>
        <w:t>https://international-aluminium.org/aluminium-industry-backs-action-this-decade-for-net-zero-by-2050/</w:t>
      </w:r>
    </w:p>
    <w:p w14:paraId="5A4667D0" w14:textId="775DBA41" w:rsidR="001A31F7" w:rsidRPr="00F13443" w:rsidRDefault="004861C1" w:rsidP="00C66F7C">
      <w:pPr>
        <w:rPr>
          <w:lang w:val="en-US"/>
        </w:rPr>
      </w:pPr>
      <w:r w:rsidRPr="00F13443">
        <w:rPr>
          <w:lang w:val="en-US"/>
        </w:rPr>
        <w:br/>
      </w:r>
    </w:p>
    <w:sectPr w:rsidR="001A31F7" w:rsidRPr="00F13443">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0482" w14:textId="77777777" w:rsidR="00B56009" w:rsidRDefault="00B56009" w:rsidP="00320E88">
      <w:pPr>
        <w:spacing w:after="0" w:line="240" w:lineRule="auto"/>
      </w:pPr>
      <w:r>
        <w:separator/>
      </w:r>
    </w:p>
  </w:endnote>
  <w:endnote w:type="continuationSeparator" w:id="0">
    <w:p w14:paraId="198EC649" w14:textId="77777777" w:rsidR="00B56009" w:rsidRDefault="00B56009" w:rsidP="00320E88">
      <w:pPr>
        <w:spacing w:after="0" w:line="240" w:lineRule="auto"/>
      </w:pPr>
      <w:r>
        <w:continuationSeparator/>
      </w:r>
    </w:p>
  </w:endnote>
  <w:endnote w:type="continuationNotice" w:id="1">
    <w:p w14:paraId="2AAF9960" w14:textId="77777777" w:rsidR="00B56009" w:rsidRDefault="00B56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3A90" w14:textId="77777777" w:rsidR="00B56009" w:rsidRDefault="00B56009" w:rsidP="00320E88">
      <w:pPr>
        <w:spacing w:after="0" w:line="240" w:lineRule="auto"/>
      </w:pPr>
      <w:r>
        <w:separator/>
      </w:r>
    </w:p>
  </w:footnote>
  <w:footnote w:type="continuationSeparator" w:id="0">
    <w:p w14:paraId="54D7AA8B" w14:textId="77777777" w:rsidR="00B56009" w:rsidRDefault="00B56009" w:rsidP="00320E88">
      <w:pPr>
        <w:spacing w:after="0" w:line="240" w:lineRule="auto"/>
      </w:pPr>
      <w:r>
        <w:continuationSeparator/>
      </w:r>
    </w:p>
  </w:footnote>
  <w:footnote w:type="continuationNotice" w:id="1">
    <w:p w14:paraId="2511219C" w14:textId="77777777" w:rsidR="00B56009" w:rsidRDefault="00B560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F98"/>
    <w:multiLevelType w:val="hybridMultilevel"/>
    <w:tmpl w:val="F7B2ECC4"/>
    <w:lvl w:ilvl="0" w:tplc="303A8BC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5E27EB"/>
    <w:multiLevelType w:val="hybridMultilevel"/>
    <w:tmpl w:val="2C9E354C"/>
    <w:lvl w:ilvl="0" w:tplc="0D02658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133AA"/>
    <w:multiLevelType w:val="hybridMultilevel"/>
    <w:tmpl w:val="81DC5EFE"/>
    <w:lvl w:ilvl="0" w:tplc="7AA6A89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E74881"/>
    <w:multiLevelType w:val="hybridMultilevel"/>
    <w:tmpl w:val="2F0E7FC6"/>
    <w:lvl w:ilvl="0" w:tplc="D88AD55E">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3D2749"/>
    <w:multiLevelType w:val="hybridMultilevel"/>
    <w:tmpl w:val="1AB8860A"/>
    <w:lvl w:ilvl="0" w:tplc="7AA6A89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7980"/>
    <w:multiLevelType w:val="hybridMultilevel"/>
    <w:tmpl w:val="AE102324"/>
    <w:lvl w:ilvl="0" w:tplc="56206A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C2473"/>
    <w:multiLevelType w:val="hybridMultilevel"/>
    <w:tmpl w:val="41B2A914"/>
    <w:lvl w:ilvl="0" w:tplc="9746D740">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B453D"/>
    <w:multiLevelType w:val="multilevel"/>
    <w:tmpl w:val="F59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12858"/>
    <w:multiLevelType w:val="hybridMultilevel"/>
    <w:tmpl w:val="C91A844C"/>
    <w:lvl w:ilvl="0" w:tplc="87A427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2"/>
  </w:num>
  <w:num w:numId="2" w16cid:durableId="153954659">
    <w:abstractNumId w:val="33"/>
  </w:num>
  <w:num w:numId="3" w16cid:durableId="2041474166">
    <w:abstractNumId w:val="22"/>
  </w:num>
  <w:num w:numId="4" w16cid:durableId="892275454">
    <w:abstractNumId w:val="37"/>
  </w:num>
  <w:num w:numId="5" w16cid:durableId="1590772331">
    <w:abstractNumId w:val="6"/>
  </w:num>
  <w:num w:numId="6" w16cid:durableId="1477380032">
    <w:abstractNumId w:val="35"/>
  </w:num>
  <w:num w:numId="7" w16cid:durableId="251083279">
    <w:abstractNumId w:val="41"/>
  </w:num>
  <w:num w:numId="8" w16cid:durableId="1868442193">
    <w:abstractNumId w:val="3"/>
  </w:num>
  <w:num w:numId="9" w16cid:durableId="1723485307">
    <w:abstractNumId w:val="19"/>
  </w:num>
  <w:num w:numId="10" w16cid:durableId="1009218094">
    <w:abstractNumId w:val="5"/>
  </w:num>
  <w:num w:numId="11" w16cid:durableId="743843037">
    <w:abstractNumId w:val="40"/>
  </w:num>
  <w:num w:numId="12" w16cid:durableId="1265189981">
    <w:abstractNumId w:val="29"/>
  </w:num>
  <w:num w:numId="13" w16cid:durableId="1651011279">
    <w:abstractNumId w:val="24"/>
  </w:num>
  <w:num w:numId="14" w16cid:durableId="1909269191">
    <w:abstractNumId w:val="16"/>
  </w:num>
  <w:num w:numId="15" w16cid:durableId="1548057387">
    <w:abstractNumId w:val="31"/>
  </w:num>
  <w:num w:numId="16" w16cid:durableId="1002198422">
    <w:abstractNumId w:val="39"/>
  </w:num>
  <w:num w:numId="17" w16cid:durableId="592592554">
    <w:abstractNumId w:val="10"/>
  </w:num>
  <w:num w:numId="18" w16cid:durableId="1985156647">
    <w:abstractNumId w:val="18"/>
  </w:num>
  <w:num w:numId="19" w16cid:durableId="1883401638">
    <w:abstractNumId w:val="38"/>
  </w:num>
  <w:num w:numId="20" w16cid:durableId="391975655">
    <w:abstractNumId w:val="21"/>
  </w:num>
  <w:num w:numId="21" w16cid:durableId="2053570976">
    <w:abstractNumId w:val="14"/>
  </w:num>
  <w:num w:numId="22" w16cid:durableId="1172449991">
    <w:abstractNumId w:val="4"/>
  </w:num>
  <w:num w:numId="23" w16cid:durableId="1004282484">
    <w:abstractNumId w:val="17"/>
  </w:num>
  <w:num w:numId="24" w16cid:durableId="1533574787">
    <w:abstractNumId w:val="27"/>
  </w:num>
  <w:num w:numId="25" w16cid:durableId="1824813060">
    <w:abstractNumId w:val="15"/>
  </w:num>
  <w:num w:numId="26" w16cid:durableId="1972400627">
    <w:abstractNumId w:val="34"/>
  </w:num>
  <w:num w:numId="27" w16cid:durableId="1902709103">
    <w:abstractNumId w:val="23"/>
  </w:num>
  <w:num w:numId="28" w16cid:durableId="1753506167">
    <w:abstractNumId w:val="36"/>
  </w:num>
  <w:num w:numId="29" w16cid:durableId="1584870340">
    <w:abstractNumId w:val="30"/>
  </w:num>
  <w:num w:numId="30" w16cid:durableId="444888476">
    <w:abstractNumId w:val="20"/>
  </w:num>
  <w:num w:numId="31" w16cid:durableId="807019732">
    <w:abstractNumId w:val="11"/>
  </w:num>
  <w:num w:numId="32" w16cid:durableId="348140174">
    <w:abstractNumId w:val="25"/>
  </w:num>
  <w:num w:numId="33" w16cid:durableId="997658615">
    <w:abstractNumId w:val="2"/>
  </w:num>
  <w:num w:numId="34" w16cid:durableId="1080368102">
    <w:abstractNumId w:val="28"/>
  </w:num>
  <w:num w:numId="35" w16cid:durableId="423234451">
    <w:abstractNumId w:val="32"/>
  </w:num>
  <w:num w:numId="36" w16cid:durableId="881674491">
    <w:abstractNumId w:val="1"/>
  </w:num>
  <w:num w:numId="37" w16cid:durableId="287124989">
    <w:abstractNumId w:val="8"/>
  </w:num>
  <w:num w:numId="38" w16cid:durableId="1015770557">
    <w:abstractNumId w:val="26"/>
  </w:num>
  <w:num w:numId="39" w16cid:durableId="1610358359">
    <w:abstractNumId w:val="13"/>
  </w:num>
  <w:num w:numId="40" w16cid:durableId="255404272">
    <w:abstractNumId w:val="9"/>
  </w:num>
  <w:num w:numId="41" w16cid:durableId="874273625">
    <w:abstractNumId w:val="7"/>
  </w:num>
  <w:num w:numId="42" w16cid:durableId="143250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09BB"/>
    <w:rsid w:val="00044981"/>
    <w:rsid w:val="00064A53"/>
    <w:rsid w:val="00070AA7"/>
    <w:rsid w:val="00072B60"/>
    <w:rsid w:val="0008635C"/>
    <w:rsid w:val="00095570"/>
    <w:rsid w:val="000D5760"/>
    <w:rsid w:val="00106FE2"/>
    <w:rsid w:val="0010739C"/>
    <w:rsid w:val="00121C28"/>
    <w:rsid w:val="001307EC"/>
    <w:rsid w:val="00131E59"/>
    <w:rsid w:val="001422A2"/>
    <w:rsid w:val="00153190"/>
    <w:rsid w:val="00155329"/>
    <w:rsid w:val="0015755C"/>
    <w:rsid w:val="001600C4"/>
    <w:rsid w:val="001A2BF1"/>
    <w:rsid w:val="001A31F7"/>
    <w:rsid w:val="001A4B39"/>
    <w:rsid w:val="001A7A9A"/>
    <w:rsid w:val="00207706"/>
    <w:rsid w:val="00246986"/>
    <w:rsid w:val="00272D74"/>
    <w:rsid w:val="002974A0"/>
    <w:rsid w:val="002A3AF4"/>
    <w:rsid w:val="002E79C9"/>
    <w:rsid w:val="002F5EA9"/>
    <w:rsid w:val="002F61A9"/>
    <w:rsid w:val="00311398"/>
    <w:rsid w:val="00315335"/>
    <w:rsid w:val="00320E88"/>
    <w:rsid w:val="003502B2"/>
    <w:rsid w:val="00353554"/>
    <w:rsid w:val="0036237A"/>
    <w:rsid w:val="00395BAB"/>
    <w:rsid w:val="003B4EDD"/>
    <w:rsid w:val="003E65F9"/>
    <w:rsid w:val="004143AB"/>
    <w:rsid w:val="004210D8"/>
    <w:rsid w:val="00467541"/>
    <w:rsid w:val="00473800"/>
    <w:rsid w:val="00480AB2"/>
    <w:rsid w:val="004861C1"/>
    <w:rsid w:val="004C0886"/>
    <w:rsid w:val="004C2958"/>
    <w:rsid w:val="004E17EE"/>
    <w:rsid w:val="004F3FC6"/>
    <w:rsid w:val="004F5145"/>
    <w:rsid w:val="005077C5"/>
    <w:rsid w:val="005319A6"/>
    <w:rsid w:val="00546CE0"/>
    <w:rsid w:val="005678B9"/>
    <w:rsid w:val="00577D79"/>
    <w:rsid w:val="00594BAC"/>
    <w:rsid w:val="005E7332"/>
    <w:rsid w:val="005F0031"/>
    <w:rsid w:val="00600EBB"/>
    <w:rsid w:val="00694615"/>
    <w:rsid w:val="006966DF"/>
    <w:rsid w:val="006A68E7"/>
    <w:rsid w:val="006B06D7"/>
    <w:rsid w:val="006C2821"/>
    <w:rsid w:val="006E1B52"/>
    <w:rsid w:val="00700102"/>
    <w:rsid w:val="00700E97"/>
    <w:rsid w:val="00715661"/>
    <w:rsid w:val="007167B0"/>
    <w:rsid w:val="0073465C"/>
    <w:rsid w:val="007375DE"/>
    <w:rsid w:val="00746D47"/>
    <w:rsid w:val="007720B9"/>
    <w:rsid w:val="0078347B"/>
    <w:rsid w:val="007E16FF"/>
    <w:rsid w:val="007F310B"/>
    <w:rsid w:val="00805EF4"/>
    <w:rsid w:val="00816492"/>
    <w:rsid w:val="00824F34"/>
    <w:rsid w:val="00830FF3"/>
    <w:rsid w:val="0083315F"/>
    <w:rsid w:val="00851A8B"/>
    <w:rsid w:val="008634A8"/>
    <w:rsid w:val="00892ECC"/>
    <w:rsid w:val="008C599B"/>
    <w:rsid w:val="008D7DA1"/>
    <w:rsid w:val="008E210B"/>
    <w:rsid w:val="008F40D7"/>
    <w:rsid w:val="00922D11"/>
    <w:rsid w:val="0093025D"/>
    <w:rsid w:val="00936E49"/>
    <w:rsid w:val="00945860"/>
    <w:rsid w:val="0096072F"/>
    <w:rsid w:val="0096228C"/>
    <w:rsid w:val="00971CCC"/>
    <w:rsid w:val="00996B23"/>
    <w:rsid w:val="009D680F"/>
    <w:rsid w:val="009E5071"/>
    <w:rsid w:val="009E6A19"/>
    <w:rsid w:val="00A04996"/>
    <w:rsid w:val="00A143C2"/>
    <w:rsid w:val="00A36380"/>
    <w:rsid w:val="00A4264C"/>
    <w:rsid w:val="00A47DE4"/>
    <w:rsid w:val="00A60514"/>
    <w:rsid w:val="00A96BBF"/>
    <w:rsid w:val="00AA44A1"/>
    <w:rsid w:val="00AC3E87"/>
    <w:rsid w:val="00AE3180"/>
    <w:rsid w:val="00AF3AB2"/>
    <w:rsid w:val="00B31428"/>
    <w:rsid w:val="00B32091"/>
    <w:rsid w:val="00B36695"/>
    <w:rsid w:val="00B56009"/>
    <w:rsid w:val="00B64356"/>
    <w:rsid w:val="00B66EF1"/>
    <w:rsid w:val="00B86EAB"/>
    <w:rsid w:val="00BA1912"/>
    <w:rsid w:val="00BB71DB"/>
    <w:rsid w:val="00BE4D40"/>
    <w:rsid w:val="00C14C98"/>
    <w:rsid w:val="00C33077"/>
    <w:rsid w:val="00C41B2C"/>
    <w:rsid w:val="00C44139"/>
    <w:rsid w:val="00C44943"/>
    <w:rsid w:val="00C66F7C"/>
    <w:rsid w:val="00C71388"/>
    <w:rsid w:val="00C730E5"/>
    <w:rsid w:val="00C738A2"/>
    <w:rsid w:val="00C85882"/>
    <w:rsid w:val="00CC007B"/>
    <w:rsid w:val="00CC328E"/>
    <w:rsid w:val="00CC45C9"/>
    <w:rsid w:val="00CF61B4"/>
    <w:rsid w:val="00D22E67"/>
    <w:rsid w:val="00D32AFA"/>
    <w:rsid w:val="00D3695B"/>
    <w:rsid w:val="00D467F5"/>
    <w:rsid w:val="00D51C2E"/>
    <w:rsid w:val="00D546D4"/>
    <w:rsid w:val="00D87BE6"/>
    <w:rsid w:val="00DD1A92"/>
    <w:rsid w:val="00DF2D5E"/>
    <w:rsid w:val="00DF66D0"/>
    <w:rsid w:val="00E05756"/>
    <w:rsid w:val="00E24105"/>
    <w:rsid w:val="00E24576"/>
    <w:rsid w:val="00E32C52"/>
    <w:rsid w:val="00E36B79"/>
    <w:rsid w:val="00E50F6E"/>
    <w:rsid w:val="00E56468"/>
    <w:rsid w:val="00E62A36"/>
    <w:rsid w:val="00E661C1"/>
    <w:rsid w:val="00E71266"/>
    <w:rsid w:val="00E81B71"/>
    <w:rsid w:val="00E93C1F"/>
    <w:rsid w:val="00F12894"/>
    <w:rsid w:val="00F13443"/>
    <w:rsid w:val="00F227C9"/>
    <w:rsid w:val="00F23506"/>
    <w:rsid w:val="00F359D5"/>
    <w:rsid w:val="00F46518"/>
    <w:rsid w:val="00F53443"/>
    <w:rsid w:val="00F55F34"/>
    <w:rsid w:val="00F56080"/>
    <w:rsid w:val="00F61EC8"/>
    <w:rsid w:val="00F65EAD"/>
    <w:rsid w:val="00FA651C"/>
    <w:rsid w:val="00FB7320"/>
    <w:rsid w:val="00FE1AF9"/>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480AB2"/>
    <w:pPr>
      <w:keepNext/>
      <w:keepLines/>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480AB2"/>
    <w:rPr>
      <w:rFonts w:asciiTheme="majorHAnsi" w:eastAsiaTheme="majorEastAsia" w:hAnsiTheme="majorHAnsi" w:cstheme="majorBidi"/>
      <w:b/>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 w:type="paragraph" w:styleId="Sansinterligne">
    <w:name w:val="No Spacing"/>
    <w:uiPriority w:val="1"/>
    <w:qFormat/>
    <w:rsid w:val="00892ECC"/>
    <w:pPr>
      <w:spacing w:after="0" w:line="240" w:lineRule="auto"/>
    </w:pPr>
    <w:rPr>
      <w:rFonts w:ascii="Times New Roman" w:hAnsi="Times New Roman"/>
      <w:sz w:val="24"/>
    </w:rPr>
  </w:style>
  <w:style w:type="character" w:customStyle="1" w:styleId="relative">
    <w:name w:val="relative"/>
    <w:basedOn w:val="Policepardfaut"/>
    <w:rsid w:val="00AF3AB2"/>
  </w:style>
  <w:style w:type="character" w:customStyle="1" w:styleId="ms-1">
    <w:name w:val="ms-1"/>
    <w:basedOn w:val="Policepardfaut"/>
    <w:rsid w:val="006E1B52"/>
  </w:style>
  <w:style w:type="character" w:customStyle="1" w:styleId="max-w-full">
    <w:name w:val="max-w-full"/>
    <w:basedOn w:val="Policepardfaut"/>
    <w:rsid w:val="006E1B52"/>
  </w:style>
  <w:style w:type="character" w:customStyle="1" w:styleId="title-text">
    <w:name w:val="title-text"/>
    <w:basedOn w:val="Policepardfaut"/>
    <w:rsid w:val="00C3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67">
      <w:bodyDiv w:val="1"/>
      <w:marLeft w:val="0"/>
      <w:marRight w:val="0"/>
      <w:marTop w:val="0"/>
      <w:marBottom w:val="0"/>
      <w:divBdr>
        <w:top w:val="none" w:sz="0" w:space="0" w:color="auto"/>
        <w:left w:val="none" w:sz="0" w:space="0" w:color="auto"/>
        <w:bottom w:val="none" w:sz="0" w:space="0" w:color="auto"/>
        <w:right w:val="none" w:sz="0" w:space="0" w:color="auto"/>
      </w:divBdr>
    </w:div>
    <w:div w:id="119693540">
      <w:bodyDiv w:val="1"/>
      <w:marLeft w:val="0"/>
      <w:marRight w:val="0"/>
      <w:marTop w:val="0"/>
      <w:marBottom w:val="0"/>
      <w:divBdr>
        <w:top w:val="none" w:sz="0" w:space="0" w:color="auto"/>
        <w:left w:val="none" w:sz="0" w:space="0" w:color="auto"/>
        <w:bottom w:val="none" w:sz="0" w:space="0" w:color="auto"/>
        <w:right w:val="none" w:sz="0" w:space="0" w:color="auto"/>
      </w:divBdr>
    </w:div>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46969997">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1779250">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697269817">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27709272">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441341657">
      <w:bodyDiv w:val="1"/>
      <w:marLeft w:val="0"/>
      <w:marRight w:val="0"/>
      <w:marTop w:val="0"/>
      <w:marBottom w:val="0"/>
      <w:divBdr>
        <w:top w:val="none" w:sz="0" w:space="0" w:color="auto"/>
        <w:left w:val="none" w:sz="0" w:space="0" w:color="auto"/>
        <w:bottom w:val="none" w:sz="0" w:space="0" w:color="auto"/>
        <w:right w:val="none" w:sz="0" w:space="0" w:color="auto"/>
      </w:divBdr>
    </w:div>
    <w:div w:id="1540898133">
      <w:bodyDiv w:val="1"/>
      <w:marLeft w:val="0"/>
      <w:marRight w:val="0"/>
      <w:marTop w:val="0"/>
      <w:marBottom w:val="0"/>
      <w:divBdr>
        <w:top w:val="none" w:sz="0" w:space="0" w:color="auto"/>
        <w:left w:val="none" w:sz="0" w:space="0" w:color="auto"/>
        <w:bottom w:val="none" w:sz="0" w:space="0" w:color="auto"/>
        <w:right w:val="none" w:sz="0" w:space="0" w:color="auto"/>
      </w:divBdr>
      <w:divsChild>
        <w:div w:id="37212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0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8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8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926">
      <w:bodyDiv w:val="1"/>
      <w:marLeft w:val="0"/>
      <w:marRight w:val="0"/>
      <w:marTop w:val="0"/>
      <w:marBottom w:val="0"/>
      <w:divBdr>
        <w:top w:val="none" w:sz="0" w:space="0" w:color="auto"/>
        <w:left w:val="none" w:sz="0" w:space="0" w:color="auto"/>
        <w:bottom w:val="none" w:sz="0" w:space="0" w:color="auto"/>
        <w:right w:val="none" w:sz="0" w:space="0" w:color="auto"/>
      </w:divBdr>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 w:id="2089039347">
      <w:bodyDiv w:val="1"/>
      <w:marLeft w:val="0"/>
      <w:marRight w:val="0"/>
      <w:marTop w:val="0"/>
      <w:marBottom w:val="0"/>
      <w:divBdr>
        <w:top w:val="none" w:sz="0" w:space="0" w:color="auto"/>
        <w:left w:val="none" w:sz="0" w:space="0" w:color="auto"/>
        <w:bottom w:val="none" w:sz="0" w:space="0" w:color="auto"/>
        <w:right w:val="none" w:sz="0" w:space="0" w:color="auto"/>
      </w:divBdr>
      <w:divsChild>
        <w:div w:id="1474173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0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ciencedirect.com/science/article/abs/pii/S095937801630080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pvi.org.au/solar-research-conference/wp-content/uploads/2023/12/Zhang-Y-Roadmap-towards-1-mgW-Silver-Consumption-for-Industrial-High-Efficiency-Screen-Printed-Silicon-Solar-Cell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1016/j.jclepro.2023.136445"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nergy.gov/sites/default/files/2024-12/Solar%20Energy%20Supply%20Chain%20Report%20-%20Final.pdf" TargetMode="External"/><Relationship Id="rId28" Type="http://schemas.openxmlformats.org/officeDocument/2006/relationships/hyperlink" Target="https://www.nature.com/articles/s41893-021-00838-9"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yperlink" Target="https://european-aluminium.eu/blog/vision2050"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eate a new document." ma:contentTypeScope="" ma:versionID="0dc450e453427ee6ab0b93a318e35f6e">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0a335a2ed716dcfae7e5d7751d3ae80a"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0DD9E-536F-493D-8C30-49E88A7F06A3}">
  <ds:schemaRefs>
    <ds:schemaRef ds:uri="http://schemas.microsoft.com/sharepoint/v3/contenttype/forms"/>
  </ds:schemaRefs>
</ds:datastoreItem>
</file>

<file path=customXml/itemProps2.xml><?xml version="1.0" encoding="utf-8"?>
<ds:datastoreItem xmlns:ds="http://schemas.openxmlformats.org/officeDocument/2006/customXml" ds:itemID="{9A3AACF4-C1FA-4007-BFCC-4570C1554EC2}">
  <ds:schemaRefs>
    <ds:schemaRef ds:uri="http://schemas.microsoft.com/office/2006/metadata/properties"/>
    <ds:schemaRef ds:uri="http://schemas.microsoft.com/office/infopath/2007/PartnerControls"/>
    <ds:schemaRef ds:uri="bc66a12d-422f-46eb-8711-8734656fa1ad"/>
    <ds:schemaRef ds:uri="09278d32-0650-4b18-af85-79262d978988"/>
  </ds:schemaRefs>
</ds:datastoreItem>
</file>

<file path=customXml/itemProps3.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customXml/itemProps4.xml><?xml version="1.0" encoding="utf-8"?>
<ds:datastoreItem xmlns:ds="http://schemas.openxmlformats.org/officeDocument/2006/customXml" ds:itemID="{A5C779CE-7D7A-4227-98D0-E2CEE20B4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6a12d-422f-46eb-8711-8734656fa1ad"/>
    <ds:schemaRef ds:uri="9127e09c-edc9-4337-a757-fe205fcf4165"/>
    <ds:schemaRef ds:uri="09278d32-0650-4b18-af85-79262d978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6277</TotalTime>
  <Pages>21</Pages>
  <Words>6455</Words>
  <Characters>35506</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41878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107</cp:revision>
  <cp:lastPrinted>2025-02-27T12:53:00Z</cp:lastPrinted>
  <dcterms:created xsi:type="dcterms:W3CDTF">2025-01-30T14:52:00Z</dcterms:created>
  <dcterms:modified xsi:type="dcterms:W3CDTF">2025-04-10T06:57:00Z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y fmtid="{D5CDD505-2E9C-101B-9397-08002B2CF9AE}" pid="3" name="MediaServiceImageTags">
    <vt:lpwstr/>
  </property>
</Properties>
</file>