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A1BB" w14:textId="6E55869E" w:rsidR="00395BAB" w:rsidRDefault="004C0886">
      <w:r>
        <w:rPr>
          <w:noProof/>
        </w:rPr>
        <w:drawing>
          <wp:anchor distT="0" distB="0" distL="114300" distR="114300" simplePos="0" relativeHeight="251663360" behindDoc="1" locked="0" layoutInCell="1" allowOverlap="1" wp14:anchorId="2F9CA787" wp14:editId="5A69E230">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A45BC" w14:textId="35A7E58F" w:rsidR="00395BAB" w:rsidRDefault="001600C4">
      <w:r>
        <w:rPr>
          <w:noProof/>
        </w:rPr>
        <mc:AlternateContent>
          <mc:Choice Requires="wps">
            <w:drawing>
              <wp:anchor distT="0" distB="0" distL="114300" distR="114300" simplePos="0" relativeHeight="251661312" behindDoc="0" locked="0" layoutInCell="1" allowOverlap="1" wp14:anchorId="6E62A57D" wp14:editId="340762FA">
                <wp:simplePos x="0" y="0"/>
                <wp:positionH relativeFrom="margin">
                  <wp:posOffset>4217951</wp:posOffset>
                </wp:positionH>
                <wp:positionV relativeFrom="paragraph">
                  <wp:posOffset>-4343400</wp:posOffset>
                </wp:positionV>
                <wp:extent cx="4209934" cy="13216255"/>
                <wp:effectExtent l="0" t="0" r="635" b="4445"/>
                <wp:wrapNone/>
                <wp:docPr id="9" name="Forme libre : forme 9"/>
                <wp:cNvGraphicFramePr/>
                <a:graphic xmlns:a="http://schemas.openxmlformats.org/drawingml/2006/main">
                  <a:graphicData uri="http://schemas.microsoft.com/office/word/2010/wordprocessingShape">
                    <wps:wsp>
                      <wps:cNvSpPr/>
                      <wps:spPr>
                        <a:xfrm>
                          <a:off x="0" y="0"/>
                          <a:ext cx="4209934" cy="13216255"/>
                        </a:xfrm>
                        <a:custGeom>
                          <a:avLst/>
                          <a:gdLst>
                            <a:gd name="connsiteX0" fmla="*/ 467615 w 3866389"/>
                            <a:gd name="connsiteY0" fmla="*/ 652335 h 10996091"/>
                            <a:gd name="connsiteX1" fmla="*/ 241984 w 3866389"/>
                            <a:gd name="connsiteY1" fmla="*/ 5592470 h 10996091"/>
                            <a:gd name="connsiteX2" fmla="*/ 3436447 w 3866389"/>
                            <a:gd name="connsiteY2" fmla="*/ 10900740 h 10996091"/>
                            <a:gd name="connsiteX3" fmla="*/ 3507699 w 3866389"/>
                            <a:gd name="connsiteY3" fmla="*/ 818590 h 10996091"/>
                            <a:gd name="connsiteX4" fmla="*/ 408239 w 3866389"/>
                            <a:gd name="connsiteY4" fmla="*/ 664210 h 10996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66389" h="10996091">
                              <a:moveTo>
                                <a:pt x="467615" y="652335"/>
                              </a:moveTo>
                              <a:cubicBezTo>
                                <a:pt x="107397" y="2268368"/>
                                <a:pt x="-252821" y="3884402"/>
                                <a:pt x="241984" y="5592470"/>
                              </a:cubicBezTo>
                              <a:cubicBezTo>
                                <a:pt x="736789" y="7300538"/>
                                <a:pt x="2892161" y="11696387"/>
                                <a:pt x="3436447" y="10900740"/>
                              </a:cubicBezTo>
                              <a:cubicBezTo>
                                <a:pt x="3980733" y="10105093"/>
                                <a:pt x="4012400" y="2524678"/>
                                <a:pt x="3507699" y="818590"/>
                              </a:cubicBezTo>
                              <a:cubicBezTo>
                                <a:pt x="3002998" y="-887498"/>
                                <a:pt x="910961" y="590979"/>
                                <a:pt x="408239" y="664210"/>
                              </a:cubicBezTo>
                            </a:path>
                          </a:pathLst>
                        </a:custGeom>
                        <a:solidFill>
                          <a:srgbClr val="CC99FF">
                            <a:alpha val="23137"/>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3391D" id="Forme libre : forme 9" o:spid="_x0000_s1026" style="position:absolute;margin-left:332.1pt;margin-top:-342pt;width:331.5pt;height:10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5B5F7C7F" wp14:editId="7B835D36">
                <wp:simplePos x="0" y="0"/>
                <wp:positionH relativeFrom="margin">
                  <wp:posOffset>-508255</wp:posOffset>
                </wp:positionH>
                <wp:positionV relativeFrom="paragraph">
                  <wp:posOffset>6533597</wp:posOffset>
                </wp:positionV>
                <wp:extent cx="2671445" cy="52197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445" cy="521970"/>
                        </a:xfrm>
                        <a:prstGeom prst="rect">
                          <a:avLst/>
                        </a:prstGeom>
                        <a:solidFill>
                          <a:srgbClr val="FFFFFF"/>
                        </a:solidFill>
                        <a:ln w="9525">
                          <a:noFill/>
                          <a:miter lim="800000"/>
                          <a:headEnd/>
                          <a:tailEnd/>
                        </a:ln>
                      </wps:spPr>
                      <wps:txbx>
                        <w:txbxContent>
                          <w:p w14:paraId="1EA89352" w14:textId="0D02E126"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5F7C7F" id="_x0000_t202" coordsize="21600,21600" o:spt="202" path="m,l,21600r21600,l21600,xe">
                <v:stroke joinstyle="miter"/>
                <v:path gradientshapeok="t" o:connecttype="rect"/>
              </v:shapetype>
              <v:shape id="Zone de texte 2" o:spid="_x0000_s1026" type="#_x0000_t202" style="position:absolute;margin-left:-40pt;margin-top:514.45pt;width:210.35pt;height:41.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w:txbxContent>
                    <w:p w14:paraId="1EA89352" w14:textId="0D02E126"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mc:Fallback>
        </mc:AlternateContent>
      </w:r>
      <w:r w:rsidR="000261E4">
        <w:rPr>
          <w:noProof/>
        </w:rPr>
        <mc:AlternateContent>
          <mc:Choice Requires="wps">
            <w:drawing>
              <wp:anchor distT="0" distB="0" distL="114300" distR="114300" simplePos="0" relativeHeight="251660288" behindDoc="0" locked="0" layoutInCell="1" allowOverlap="1" wp14:anchorId="5F18CA39" wp14:editId="6C27744F">
                <wp:simplePos x="0" y="0"/>
                <wp:positionH relativeFrom="rightMargin">
                  <wp:posOffset>155443</wp:posOffset>
                </wp:positionH>
                <wp:positionV relativeFrom="paragraph">
                  <wp:posOffset>1486246</wp:posOffset>
                </wp:positionV>
                <wp:extent cx="1117839" cy="4916170"/>
                <wp:effectExtent l="0" t="0" r="6350" b="0"/>
                <wp:wrapNone/>
                <wp:docPr id="8" name="Forme libre : forme 8"/>
                <wp:cNvGraphicFramePr/>
                <a:graphic xmlns:a="http://schemas.openxmlformats.org/drawingml/2006/main">
                  <a:graphicData uri="http://schemas.microsoft.com/office/word/2010/wordprocessingShape">
                    <wps:wsp>
                      <wps:cNvSpPr/>
                      <wps:spPr>
                        <a:xfrm>
                          <a:off x="0" y="0"/>
                          <a:ext cx="1117839" cy="4916170"/>
                        </a:xfrm>
                        <a:custGeom>
                          <a:avLst/>
                          <a:gdLst>
                            <a:gd name="connsiteX0" fmla="*/ 1285306 w 1332085"/>
                            <a:gd name="connsiteY0" fmla="*/ 57276 h 2969978"/>
                            <a:gd name="connsiteX1" fmla="*/ 2771 w 1332085"/>
                            <a:gd name="connsiteY1" fmla="*/ 1173556 h 2969978"/>
                            <a:gd name="connsiteX2" fmla="*/ 952797 w 1332085"/>
                            <a:gd name="connsiteY2" fmla="*/ 2954855 h 2969978"/>
                            <a:gd name="connsiteX3" fmla="*/ 1285306 w 1332085"/>
                            <a:gd name="connsiteY3" fmla="*/ 57276 h 2969978"/>
                          </a:gdLst>
                          <a:ahLst/>
                          <a:cxnLst>
                            <a:cxn ang="0">
                              <a:pos x="connsiteX0" y="connsiteY0"/>
                            </a:cxn>
                            <a:cxn ang="0">
                              <a:pos x="connsiteX1" y="connsiteY1"/>
                            </a:cxn>
                            <a:cxn ang="0">
                              <a:pos x="connsiteX2" y="connsiteY2"/>
                            </a:cxn>
                            <a:cxn ang="0">
                              <a:pos x="connsiteX3" y="connsiteY3"/>
                            </a:cxn>
                          </a:cxnLst>
                          <a:rect l="l" t="t" r="r" b="b"/>
                          <a:pathLst>
                            <a:path w="1332085" h="2969978">
                              <a:moveTo>
                                <a:pt x="1285306" y="57276"/>
                              </a:moveTo>
                              <a:cubicBezTo>
                                <a:pt x="1126968" y="-239607"/>
                                <a:pt x="58189" y="690626"/>
                                <a:pt x="2771" y="1173556"/>
                              </a:cubicBezTo>
                              <a:cubicBezTo>
                                <a:pt x="-52647" y="1656486"/>
                                <a:pt x="739041" y="3134964"/>
                                <a:pt x="952797" y="2954855"/>
                              </a:cubicBezTo>
                              <a:cubicBezTo>
                                <a:pt x="1166553" y="2774746"/>
                                <a:pt x="1443644" y="354159"/>
                                <a:pt x="1285306" y="57276"/>
                              </a:cubicBezTo>
                              <a:close/>
                            </a:path>
                          </a:pathLst>
                        </a:custGeom>
                        <a:solidFill>
                          <a:srgbClr val="7030A0">
                            <a:alpha val="69804"/>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3186" id="Forme libre : forme 8" o:spid="_x0000_s1026" style="position:absolute;margin-left:12.25pt;margin-top:117.05pt;width:88pt;height:387.1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mc:Fallback>
        </mc:AlternateContent>
      </w:r>
      <w:r w:rsidR="000261E4">
        <w:rPr>
          <w:noProof/>
        </w:rPr>
        <mc:AlternateContent>
          <mc:Choice Requires="wps">
            <w:drawing>
              <wp:anchor distT="0" distB="0" distL="114300" distR="114300" simplePos="0" relativeHeight="251659264" behindDoc="0" locked="0" layoutInCell="1" allowOverlap="1" wp14:anchorId="29405C77" wp14:editId="477381B7">
                <wp:simplePos x="0" y="0"/>
                <wp:positionH relativeFrom="margin">
                  <wp:posOffset>5287249</wp:posOffset>
                </wp:positionH>
                <wp:positionV relativeFrom="paragraph">
                  <wp:posOffset>-9146</wp:posOffset>
                </wp:positionV>
                <wp:extent cx="1566908" cy="11411585"/>
                <wp:effectExtent l="0" t="0" r="0" b="0"/>
                <wp:wrapNone/>
                <wp:docPr id="6" name="Forme libre : forme 6"/>
                <wp:cNvGraphicFramePr/>
                <a:graphic xmlns:a="http://schemas.openxmlformats.org/drawingml/2006/main">
                  <a:graphicData uri="http://schemas.microsoft.com/office/word/2010/wordprocessingShape">
                    <wps:wsp>
                      <wps:cNvSpPr/>
                      <wps:spPr>
                        <a:xfrm>
                          <a:off x="0" y="0"/>
                          <a:ext cx="1566908" cy="11411585"/>
                        </a:xfrm>
                        <a:custGeom>
                          <a:avLst/>
                          <a:gdLst>
                            <a:gd name="connsiteX0" fmla="*/ 2802669 w 2966169"/>
                            <a:gd name="connsiteY0" fmla="*/ 23751 h 10526826"/>
                            <a:gd name="connsiteX1" fmla="*/ 522607 w 2966169"/>
                            <a:gd name="connsiteY1" fmla="*/ 3657600 h 10526826"/>
                            <a:gd name="connsiteX2" fmla="*/ 2612664 w 2966169"/>
                            <a:gd name="connsiteY2" fmla="*/ 7291450 h 10526826"/>
                            <a:gd name="connsiteX3" fmla="*/ 93 w 2966169"/>
                            <a:gd name="connsiteY3" fmla="*/ 9678390 h 10526826"/>
                            <a:gd name="connsiteX4" fmla="*/ 2719542 w 2966169"/>
                            <a:gd name="connsiteY4" fmla="*/ 9725891 h 10526826"/>
                            <a:gd name="connsiteX5" fmla="*/ 2850170 w 2966169"/>
                            <a:gd name="connsiteY5" fmla="*/ 0 h 10526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66169" h="10526826">
                              <a:moveTo>
                                <a:pt x="2802669" y="23751"/>
                              </a:moveTo>
                              <a:cubicBezTo>
                                <a:pt x="1678472" y="1235034"/>
                                <a:pt x="554275" y="2446317"/>
                                <a:pt x="522607" y="3657600"/>
                              </a:cubicBezTo>
                              <a:cubicBezTo>
                                <a:pt x="490939" y="4868883"/>
                                <a:pt x="2699750" y="6287985"/>
                                <a:pt x="2612664" y="7291450"/>
                              </a:cubicBezTo>
                              <a:cubicBezTo>
                                <a:pt x="2525578" y="8294915"/>
                                <a:pt x="-17720" y="9272650"/>
                                <a:pt x="93" y="9678390"/>
                              </a:cubicBezTo>
                              <a:cubicBezTo>
                                <a:pt x="17906" y="10084130"/>
                                <a:pt x="2244529" y="11338956"/>
                                <a:pt x="2719542" y="9725891"/>
                              </a:cubicBezTo>
                              <a:cubicBezTo>
                                <a:pt x="3194555" y="8112826"/>
                                <a:pt x="2834336" y="1545771"/>
                                <a:pt x="2850170" y="0"/>
                              </a:cubicBezTo>
                            </a:path>
                          </a:pathLst>
                        </a:custGeom>
                        <a:solidFill>
                          <a:srgbClr val="7030A0">
                            <a:alpha val="50196"/>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C37E1" id="Forme libre : forme 6" o:spid="_x0000_s1026" style="position:absolute;margin-left:416.3pt;margin-top:-.7pt;width:123.4pt;height:89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mc:Fallback>
        </mc:AlternateContent>
      </w:r>
      <w:r w:rsidR="00C85882">
        <w:rPr>
          <w:noProof/>
        </w:rPr>
        <w:drawing>
          <wp:anchor distT="0" distB="0" distL="114300" distR="114300" simplePos="0" relativeHeight="251662336" behindDoc="1" locked="0" layoutInCell="1" allowOverlap="1" wp14:anchorId="09F73184" wp14:editId="2B159FA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418377BF" w14:textId="58B6DEEE" w:rsidR="00395BAB" w:rsidRDefault="004C0886">
      <w:r>
        <w:rPr>
          <w:noProof/>
        </w:rPr>
        <mc:AlternateContent>
          <mc:Choice Requires="wps">
            <w:drawing>
              <wp:anchor distT="45720" distB="45720" distL="114300" distR="114300" simplePos="0" relativeHeight="251665408" behindDoc="0" locked="0" layoutInCell="1" allowOverlap="1" wp14:anchorId="054D4982" wp14:editId="44564FF4">
                <wp:simplePos x="0" y="0"/>
                <wp:positionH relativeFrom="margin">
                  <wp:posOffset>-485775</wp:posOffset>
                </wp:positionH>
                <wp:positionV relativeFrom="paragraph">
                  <wp:posOffset>125154</wp:posOffset>
                </wp:positionV>
                <wp:extent cx="4144010" cy="819150"/>
                <wp:effectExtent l="0" t="0" r="889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19150"/>
                        </a:xfrm>
                        <a:prstGeom prst="rect">
                          <a:avLst/>
                        </a:prstGeom>
                        <a:solidFill>
                          <a:srgbClr val="FFFFFF"/>
                        </a:solidFill>
                        <a:ln w="9525">
                          <a:noFill/>
                          <a:miter lim="800000"/>
                          <a:headEnd/>
                          <a:tailEnd/>
                        </a:ln>
                      </wps:spPr>
                      <wps:txbx>
                        <w:txbxContent>
                          <w:p w14:paraId="4637BA1E" w14:textId="5FE5D058"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w:t>
                            </w:r>
                            <w:r w:rsidRPr="004C0886">
                              <w:rPr>
                                <w:rFonts w:cstheme="minorHAnsi"/>
                                <w:b/>
                                <w:bCs/>
                                <w:color w:val="404040" w:themeColor="text1" w:themeTint="BF"/>
                                <w:sz w:val="52"/>
                                <w:szCs w:val="52"/>
                              </w:rPr>
                              <w:t>É</w:t>
                            </w:r>
                            <w:r w:rsidRPr="004C0886">
                              <w:rPr>
                                <w:rFonts w:cstheme="minorHAnsi"/>
                                <w:b/>
                                <w:bCs/>
                                <w:color w:val="404040" w:themeColor="text1" w:themeTint="BF"/>
                                <w:sz w:val="52"/>
                                <w:szCs w:val="52"/>
                              </w:rPr>
                              <w:t>MOIRE PROFESSIONNEL</w:t>
                            </w:r>
                          </w:p>
                          <w:p w14:paraId="34603383" w14:textId="32B2F731" w:rsidR="000261E4" w:rsidRPr="0078347B" w:rsidRDefault="000261E4" w:rsidP="0078347B">
                            <w:pPr>
                              <w:spacing w:after="0"/>
                              <w:rPr>
                                <w:sz w:val="28"/>
                                <w:szCs w:val="28"/>
                              </w:rPr>
                            </w:pPr>
                            <w:r w:rsidRPr="0078347B">
                              <w:rPr>
                                <w:sz w:val="28"/>
                                <w:szCs w:val="28"/>
                              </w:rPr>
                              <w:t>MSC Supply Chain &amp; Transformation Digital</w:t>
                            </w:r>
                            <w:r w:rsidR="0078347B">
                              <w:rPr>
                                <w:sz w:val="28"/>
                                <w:szCs w:val="2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4982" id="_x0000_s1027" type="#_x0000_t202" style="position:absolute;margin-left:-38.25pt;margin-top:9.85pt;width:326.3pt;height: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w:txbxContent>
                    <w:p w14:paraId="4637BA1E" w14:textId="5FE5D058"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w:t>
                      </w:r>
                      <w:r w:rsidRPr="004C0886">
                        <w:rPr>
                          <w:rFonts w:cstheme="minorHAnsi"/>
                          <w:b/>
                          <w:bCs/>
                          <w:color w:val="404040" w:themeColor="text1" w:themeTint="BF"/>
                          <w:sz w:val="52"/>
                          <w:szCs w:val="52"/>
                        </w:rPr>
                        <w:t>É</w:t>
                      </w:r>
                      <w:r w:rsidRPr="004C0886">
                        <w:rPr>
                          <w:rFonts w:cstheme="minorHAnsi"/>
                          <w:b/>
                          <w:bCs/>
                          <w:color w:val="404040" w:themeColor="text1" w:themeTint="BF"/>
                          <w:sz w:val="52"/>
                          <w:szCs w:val="52"/>
                        </w:rPr>
                        <w:t>MOIRE PROFESSIONNEL</w:t>
                      </w:r>
                    </w:p>
                    <w:p w14:paraId="34603383" w14:textId="32B2F731" w:rsidR="000261E4" w:rsidRPr="0078347B" w:rsidRDefault="000261E4" w:rsidP="0078347B">
                      <w:pPr>
                        <w:spacing w:after="0"/>
                        <w:rPr>
                          <w:sz w:val="28"/>
                          <w:szCs w:val="28"/>
                        </w:rPr>
                      </w:pPr>
                      <w:r w:rsidRPr="0078347B">
                        <w:rPr>
                          <w:sz w:val="28"/>
                          <w:szCs w:val="28"/>
                        </w:rPr>
                        <w:t>MSC Supply Chain &amp; Transformation Digital</w:t>
                      </w:r>
                      <w:r w:rsidR="0078347B">
                        <w:rPr>
                          <w:sz w:val="28"/>
                          <w:szCs w:val="28"/>
                        </w:rPr>
                        <w:t>e</w:t>
                      </w:r>
                    </w:p>
                  </w:txbxContent>
                </v:textbox>
                <w10:wrap type="square" anchorx="margin"/>
              </v:shape>
            </w:pict>
          </mc:Fallback>
        </mc:AlternateContent>
      </w:r>
    </w:p>
    <w:p w14:paraId="6A83177B" w14:textId="22FCD652" w:rsidR="00395BAB" w:rsidRDefault="00395BAB"/>
    <w:p w14:paraId="2DE208A9" w14:textId="77777777" w:rsidR="00395BAB" w:rsidRDefault="00395BAB"/>
    <w:p w14:paraId="7FDD3DA8" w14:textId="77777777" w:rsidR="00395BAB" w:rsidRDefault="00395BAB"/>
    <w:p w14:paraId="600F912A" w14:textId="77777777" w:rsidR="00395BAB" w:rsidRDefault="00395BAB"/>
    <w:p w14:paraId="62CE6EFC" w14:textId="77777777" w:rsidR="00395BAB" w:rsidRDefault="00395BAB"/>
    <w:p w14:paraId="0E50608B" w14:textId="17A7C6E4" w:rsidR="00395BAB" w:rsidRDefault="004C0886">
      <w:r>
        <w:rPr>
          <w:noProof/>
        </w:rPr>
        <mc:AlternateContent>
          <mc:Choice Requires="wps">
            <w:drawing>
              <wp:anchor distT="45720" distB="45720" distL="114300" distR="114300" simplePos="0" relativeHeight="251667456" behindDoc="0" locked="0" layoutInCell="1" allowOverlap="1" wp14:anchorId="38DBE583" wp14:editId="0E2AC111">
                <wp:simplePos x="0" y="0"/>
                <wp:positionH relativeFrom="margin">
                  <wp:posOffset>-554193</wp:posOffset>
                </wp:positionH>
                <wp:positionV relativeFrom="paragraph">
                  <wp:posOffset>6409</wp:posOffset>
                </wp:positionV>
                <wp:extent cx="5616575" cy="2600325"/>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6575" cy="2600325"/>
                        </a:xfrm>
                        <a:prstGeom prst="rect">
                          <a:avLst/>
                        </a:prstGeom>
                        <a:noFill/>
                        <a:ln w="9525">
                          <a:noFill/>
                          <a:miter lim="800000"/>
                          <a:headEnd/>
                          <a:tailEnd/>
                        </a:ln>
                      </wps:spPr>
                      <wps:txbx>
                        <w:txbxContent>
                          <w:p w14:paraId="40E75C43" w14:textId="7102BE9D" w:rsidR="0078347B" w:rsidRPr="001600C4" w:rsidRDefault="001600C4" w:rsidP="001600C4">
                            <w:pPr>
                              <w:spacing w:after="0"/>
                              <w:jc w:val="both"/>
                              <w:rPr>
                                <w:b/>
                                <w:bCs/>
                                <w:color w:val="404040" w:themeColor="text1" w:themeTint="BF"/>
                                <w:sz w:val="160"/>
                                <w:szCs w:val="160"/>
                              </w:rPr>
                            </w:pPr>
                            <w:r w:rsidRPr="001600C4">
                              <w:rPr>
                                <w:b/>
                                <w:bCs/>
                                <w:color w:val="404040" w:themeColor="text1" w:themeTint="BF"/>
                                <w:sz w:val="160"/>
                                <w:szCs w:val="160"/>
                              </w:rPr>
                              <w:t>Supply Chain Solaire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BE583" id="_x0000_s1028" type="#_x0000_t202" style="position:absolute;margin-left:-43.65pt;margin-top:.5pt;width:442.25pt;height:204.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w:txbxContent>
                    <w:p w14:paraId="40E75C43" w14:textId="7102BE9D" w:rsidR="0078347B" w:rsidRPr="001600C4" w:rsidRDefault="001600C4" w:rsidP="001600C4">
                      <w:pPr>
                        <w:spacing w:after="0"/>
                        <w:jc w:val="both"/>
                        <w:rPr>
                          <w:b/>
                          <w:bCs/>
                          <w:color w:val="404040" w:themeColor="text1" w:themeTint="BF"/>
                          <w:sz w:val="160"/>
                          <w:szCs w:val="160"/>
                        </w:rPr>
                      </w:pPr>
                      <w:r w:rsidRPr="001600C4">
                        <w:rPr>
                          <w:b/>
                          <w:bCs/>
                          <w:color w:val="404040" w:themeColor="text1" w:themeTint="BF"/>
                          <w:sz w:val="160"/>
                          <w:szCs w:val="160"/>
                        </w:rPr>
                        <w:t>Supply Chain Solaire</w:t>
                      </w:r>
                    </w:p>
                  </w:txbxContent>
                </v:textbox>
                <w10:wrap type="square" anchorx="margin"/>
              </v:shape>
            </w:pict>
          </mc:Fallback>
        </mc:AlternateContent>
      </w:r>
    </w:p>
    <w:p w14:paraId="26009AA3" w14:textId="77777777" w:rsidR="00395BAB" w:rsidRDefault="00395BAB"/>
    <w:p w14:paraId="2C299876" w14:textId="77777777" w:rsidR="00395BAB" w:rsidRDefault="00395BAB"/>
    <w:p w14:paraId="44788088" w14:textId="77777777" w:rsidR="00395BAB" w:rsidRDefault="00395BAB"/>
    <w:p w14:paraId="1E438ED8" w14:textId="77777777" w:rsidR="00395BAB" w:rsidRDefault="00395BAB"/>
    <w:p w14:paraId="442CB017" w14:textId="77777777" w:rsidR="00395BAB" w:rsidRDefault="00395BAB"/>
    <w:p w14:paraId="2E9C0F5E" w14:textId="77777777" w:rsidR="00395BAB" w:rsidRDefault="00395BAB"/>
    <w:p w14:paraId="6F843575" w14:textId="77777777" w:rsidR="00395BAB" w:rsidRDefault="00395BAB"/>
    <w:p w14:paraId="31A76EAD" w14:textId="4A1EF936" w:rsidR="00395BAB" w:rsidRDefault="004C0886">
      <w:r>
        <w:rPr>
          <w:noProof/>
        </w:rPr>
        <mc:AlternateContent>
          <mc:Choice Requires="wps">
            <w:drawing>
              <wp:anchor distT="45720" distB="45720" distL="114300" distR="114300" simplePos="0" relativeHeight="251669504" behindDoc="0" locked="0" layoutInCell="1" allowOverlap="1" wp14:anchorId="25066C18" wp14:editId="214B6795">
                <wp:simplePos x="0" y="0"/>
                <wp:positionH relativeFrom="margin">
                  <wp:align>center</wp:align>
                </wp:positionH>
                <wp:positionV relativeFrom="paragraph">
                  <wp:posOffset>239173</wp:posOffset>
                </wp:positionV>
                <wp:extent cx="6934835" cy="569595"/>
                <wp:effectExtent l="0" t="0" r="0" b="19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835" cy="569595"/>
                        </a:xfrm>
                        <a:prstGeom prst="rect">
                          <a:avLst/>
                        </a:prstGeom>
                        <a:noFill/>
                        <a:ln w="9525">
                          <a:noFill/>
                          <a:miter lim="800000"/>
                          <a:headEnd/>
                          <a:tailEnd/>
                        </a:ln>
                      </wps:spPr>
                      <wps:txbx>
                        <w:txbxContent>
                          <w:p w14:paraId="62F57631" w14:textId="77777777" w:rsidR="001600C4" w:rsidRPr="001600C4" w:rsidRDefault="001600C4" w:rsidP="001600C4">
                            <w:pPr>
                              <w:spacing w:after="0"/>
                              <w:jc w:val="both"/>
                              <w:rPr>
                                <w:rFonts w:cstheme="minorHAnsi"/>
                                <w:b/>
                                <w:bCs/>
                                <w:sz w:val="48"/>
                                <w:szCs w:val="48"/>
                              </w:rPr>
                            </w:pPr>
                            <w:r w:rsidRPr="001600C4">
                              <w:rPr>
                                <w:sz w:val="48"/>
                                <w:szCs w:val="48"/>
                              </w:rPr>
                              <w:t>Anticipation des Coûts et Optimisation Logistique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66C18" id="_x0000_s1029" type="#_x0000_t202" style="position:absolute;margin-left:0;margin-top:18.85pt;width:546.05pt;height:44.8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w:txbxContent>
                    <w:p w14:paraId="62F57631" w14:textId="77777777" w:rsidR="001600C4" w:rsidRPr="001600C4" w:rsidRDefault="001600C4" w:rsidP="001600C4">
                      <w:pPr>
                        <w:spacing w:after="0"/>
                        <w:jc w:val="both"/>
                        <w:rPr>
                          <w:rFonts w:cstheme="minorHAnsi"/>
                          <w:b/>
                          <w:bCs/>
                          <w:sz w:val="48"/>
                          <w:szCs w:val="48"/>
                        </w:rPr>
                      </w:pPr>
                      <w:r w:rsidRPr="001600C4">
                        <w:rPr>
                          <w:sz w:val="48"/>
                          <w:szCs w:val="48"/>
                        </w:rPr>
                        <w:t>Anticipation des Coûts et Optimisation Logistique</w:t>
                      </w:r>
                    </w:p>
                  </w:txbxContent>
                </v:textbox>
                <w10:wrap type="square" anchorx="margin"/>
              </v:shape>
            </w:pict>
          </mc:Fallback>
        </mc:AlternateContent>
      </w:r>
    </w:p>
    <w:p w14:paraId="63B9E434" w14:textId="35A1856B" w:rsidR="00395BAB" w:rsidRDefault="00395BAB"/>
    <w:p w14:paraId="2AFA5092" w14:textId="77777777" w:rsidR="00395BAB" w:rsidRDefault="00395BAB"/>
    <w:p w14:paraId="55779FA8" w14:textId="77777777" w:rsidR="00395BAB" w:rsidRDefault="00395BAB"/>
    <w:p w14:paraId="2B6A6814" w14:textId="77777777" w:rsidR="00395BAB" w:rsidRDefault="00395BAB"/>
    <w:p w14:paraId="05BE6D1B" w14:textId="77777777" w:rsidR="00395BAB" w:rsidRDefault="00395BAB"/>
    <w:p w14:paraId="5B245BEE" w14:textId="5390CF3A" w:rsidR="00395BAB" w:rsidRDefault="00395BAB"/>
    <w:p w14:paraId="7A304C78" w14:textId="051E787E" w:rsidR="00395BAB" w:rsidRDefault="004C0886">
      <w:r>
        <w:rPr>
          <w:noProof/>
        </w:rPr>
        <mc:AlternateContent>
          <mc:Choice Requires="wps">
            <w:drawing>
              <wp:anchor distT="45720" distB="45720" distL="114300" distR="114300" simplePos="0" relativeHeight="251673600" behindDoc="0" locked="0" layoutInCell="1" allowOverlap="1" wp14:anchorId="5AC24E09" wp14:editId="36819969">
                <wp:simplePos x="0" y="0"/>
                <wp:positionH relativeFrom="margin">
                  <wp:posOffset>-509432</wp:posOffset>
                </wp:positionH>
                <wp:positionV relativeFrom="paragraph">
                  <wp:posOffset>-142802</wp:posOffset>
                </wp:positionV>
                <wp:extent cx="3431540" cy="1518920"/>
                <wp:effectExtent l="0" t="0" r="0" b="508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1518920"/>
                        </a:xfrm>
                        <a:prstGeom prst="rect">
                          <a:avLst/>
                        </a:prstGeom>
                        <a:solidFill>
                          <a:srgbClr val="FFFFFF"/>
                        </a:solidFill>
                        <a:ln w="9525">
                          <a:noFill/>
                          <a:miter lim="800000"/>
                          <a:headEnd/>
                          <a:tailEnd/>
                        </a:ln>
                      </wps:spPr>
                      <wps:txbx>
                        <w:txbxContent>
                          <w:p w14:paraId="4BA47684" w14:textId="157672BE"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4618F256" w14:textId="1F0C197D"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r w:rsidR="00473800">
                              <w:rPr>
                                <w:rFonts w:cstheme="minorHAnsi"/>
                                <w:color w:val="0D0D0D" w:themeColor="text1" w:themeTint="F2"/>
                                <w:sz w:val="36"/>
                                <w:szCs w:val="36"/>
                              </w:rPr>
                              <w:t>Dhaou Ghoul</w:t>
                            </w:r>
                          </w:p>
                          <w:p w14:paraId="4A22BCB8"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17CE67D9" w14:textId="78254DB3"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24E09" id="_x0000_s1030" type="#_x0000_t202" style="position:absolute;margin-left:-40.1pt;margin-top:-11.25pt;width:270.2pt;height:11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w:txbxContent>
                    <w:p w14:paraId="4BA47684" w14:textId="157672BE"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4618F256" w14:textId="1F0C197D"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r w:rsidR="00473800">
                        <w:rPr>
                          <w:rFonts w:cstheme="minorHAnsi"/>
                          <w:color w:val="0D0D0D" w:themeColor="text1" w:themeTint="F2"/>
                          <w:sz w:val="36"/>
                          <w:szCs w:val="36"/>
                        </w:rPr>
                        <w:t>Dhaou Ghoul</w:t>
                      </w:r>
                    </w:p>
                    <w:p w14:paraId="4A22BCB8"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17CE67D9" w14:textId="78254DB3"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mc:Fallback>
        </mc:AlternateContent>
      </w:r>
    </w:p>
    <w:p w14:paraId="5B9674C4" w14:textId="77777777" w:rsidR="00395BAB" w:rsidRDefault="00395BAB"/>
    <w:p w14:paraId="4B2C6C4A" w14:textId="77777777" w:rsidR="00395BAB" w:rsidRDefault="00395BAB"/>
    <w:p w14:paraId="68DD86EF" w14:textId="77777777" w:rsidR="00395BAB" w:rsidRDefault="00395BAB"/>
    <w:p w14:paraId="138A1C4E" w14:textId="49C51563" w:rsidR="00FF046E" w:rsidRDefault="00FF046E">
      <w:r>
        <w:br w:type="page"/>
      </w:r>
    </w:p>
    <w:p w14:paraId="28D2486A" w14:textId="4AA16879" w:rsidR="00395BAB" w:rsidRDefault="00FF046E" w:rsidP="00FF046E">
      <w:pPr>
        <w:pStyle w:val="Titre1"/>
      </w:pPr>
      <w:r>
        <w:lastRenderedPageBreak/>
        <w:t>Remerciements</w:t>
      </w:r>
    </w:p>
    <w:p w14:paraId="3981C0DD" w14:textId="77777777" w:rsidR="00FF046E" w:rsidRDefault="00FF046E"/>
    <w:p w14:paraId="7CECEF8C" w14:textId="77777777" w:rsidR="00FF046E" w:rsidRDefault="00FF046E"/>
    <w:p w14:paraId="53F63B36" w14:textId="77777777" w:rsidR="00FF046E" w:rsidRDefault="00FF046E"/>
    <w:p w14:paraId="4C03B067" w14:textId="77777777" w:rsidR="00FF046E" w:rsidRDefault="00FF046E"/>
    <w:p w14:paraId="60B4B761" w14:textId="77777777" w:rsidR="00FF046E" w:rsidRDefault="00FF046E"/>
    <w:p w14:paraId="66999819" w14:textId="77777777" w:rsidR="00FF046E" w:rsidRDefault="00FF046E"/>
    <w:p w14:paraId="4815602A" w14:textId="77777777" w:rsidR="00FF046E" w:rsidRDefault="00FF046E"/>
    <w:p w14:paraId="4BCEE35D" w14:textId="77777777" w:rsidR="00FF046E" w:rsidRDefault="00FF046E"/>
    <w:p w14:paraId="0C475C9D" w14:textId="77777777" w:rsidR="00FF046E" w:rsidRDefault="00FF046E"/>
    <w:p w14:paraId="4E93C45D" w14:textId="77777777" w:rsidR="00FF046E" w:rsidRDefault="00FF046E"/>
    <w:p w14:paraId="76B04F4A" w14:textId="77777777" w:rsidR="00FF046E" w:rsidRDefault="00FF046E"/>
    <w:p w14:paraId="510A0A9A" w14:textId="77777777" w:rsidR="00FF046E" w:rsidRDefault="00FF046E"/>
    <w:p w14:paraId="4DC676E3" w14:textId="77777777" w:rsidR="00FF046E" w:rsidRDefault="00FF046E"/>
    <w:p w14:paraId="120C169A" w14:textId="77777777" w:rsidR="00FF046E" w:rsidRDefault="00FF046E"/>
    <w:p w14:paraId="4B838DD3" w14:textId="77777777" w:rsidR="00FF046E" w:rsidRDefault="00FF046E"/>
    <w:p w14:paraId="3096BF27" w14:textId="77777777" w:rsidR="00FF046E" w:rsidRDefault="00FF046E"/>
    <w:p w14:paraId="29244517" w14:textId="77777777" w:rsidR="00FF046E" w:rsidRDefault="00FF046E"/>
    <w:p w14:paraId="690F6BB7" w14:textId="77777777" w:rsidR="00FF046E" w:rsidRDefault="00FF046E"/>
    <w:p w14:paraId="2B155FF9" w14:textId="77777777" w:rsidR="00FF046E" w:rsidRDefault="00FF046E"/>
    <w:p w14:paraId="6AABCBF3" w14:textId="77777777" w:rsidR="00FF046E" w:rsidRDefault="00FF046E"/>
    <w:p w14:paraId="5CE0A1BC" w14:textId="77777777" w:rsidR="00FF046E" w:rsidRDefault="00FF046E"/>
    <w:p w14:paraId="71FBE8AD" w14:textId="77777777" w:rsidR="00FF046E" w:rsidRDefault="00FF046E"/>
    <w:p w14:paraId="50CE0155" w14:textId="77777777" w:rsidR="00FF046E" w:rsidRDefault="00FF046E"/>
    <w:p w14:paraId="05A9DD3D" w14:textId="77777777" w:rsidR="00FF046E" w:rsidRDefault="00FF046E"/>
    <w:p w14:paraId="6BD3D26A" w14:textId="77777777" w:rsidR="00FF046E" w:rsidRDefault="00FF046E"/>
    <w:p w14:paraId="72FFE850" w14:textId="77777777" w:rsidR="00FF046E" w:rsidRDefault="00FF046E"/>
    <w:p w14:paraId="791C3CF6" w14:textId="77777777" w:rsidR="00FF046E" w:rsidRDefault="00FF046E"/>
    <w:p w14:paraId="17A1AB0F" w14:textId="77777777" w:rsidR="00FF046E" w:rsidRDefault="00FF046E"/>
    <w:p w14:paraId="7222E71C" w14:textId="34E3022F" w:rsidR="00B36695" w:rsidRPr="004E17EE" w:rsidRDefault="00B36695" w:rsidP="004E17EE">
      <w:pPr>
        <w:pStyle w:val="Titre1"/>
        <w:rPr>
          <w:rFonts w:eastAsia="Times New Roman"/>
          <w:b w:val="0"/>
          <w:lang w:eastAsia="fr-FR"/>
        </w:rPr>
      </w:pPr>
      <w:r w:rsidRPr="004E17EE">
        <w:rPr>
          <w:rFonts w:eastAsia="Times New Roman"/>
          <w:b w:val="0"/>
          <w:lang w:eastAsia="fr-FR"/>
        </w:rPr>
        <w:lastRenderedPageBreak/>
        <w:t>Introduction</w:t>
      </w:r>
    </w:p>
    <w:p w14:paraId="7645D479" w14:textId="17EE9C3D" w:rsidR="004C0886" w:rsidRPr="004E17EE" w:rsidRDefault="004C0886" w:rsidP="00064A53">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 xml:space="preserve">La transition énergétique mondiale a accéléré le développement du marché photovoltaïque, entraînant une demande croissante en matières premières essentielles telles que le silicium, l’aluminium et l’argent. Cette dynamique s’accompagne de fluctuations importantes des prix, causées par divers facteurs économiques, technologiques et géopolitiques. Selon le rapport </w:t>
      </w:r>
      <w:r w:rsidRPr="004C0886">
        <w:rPr>
          <w:rFonts w:asciiTheme="majorHAnsi" w:eastAsia="Times New Roman" w:hAnsiTheme="majorHAnsi" w:cstheme="majorHAnsi"/>
          <w:i/>
          <w:iCs/>
          <w:kern w:val="0"/>
          <w:sz w:val="24"/>
          <w:szCs w:val="24"/>
          <w:lang w:eastAsia="fr-FR"/>
          <w14:ligatures w14:val="none"/>
        </w:rPr>
        <w:t xml:space="preserve">Building </w:t>
      </w:r>
      <w:proofErr w:type="spellStart"/>
      <w:r w:rsidRPr="004C0886">
        <w:rPr>
          <w:rFonts w:asciiTheme="majorHAnsi" w:eastAsia="Times New Roman" w:hAnsiTheme="majorHAnsi" w:cstheme="majorHAnsi"/>
          <w:i/>
          <w:iCs/>
          <w:kern w:val="0"/>
          <w:sz w:val="24"/>
          <w:szCs w:val="24"/>
          <w:lang w:eastAsia="fr-FR"/>
          <w14:ligatures w14:val="none"/>
        </w:rPr>
        <w:t>Resilient</w:t>
      </w:r>
      <w:proofErr w:type="spellEnd"/>
      <w:r w:rsidRPr="004C0886">
        <w:rPr>
          <w:rFonts w:asciiTheme="majorHAnsi" w:eastAsia="Times New Roman" w:hAnsiTheme="majorHAnsi" w:cstheme="majorHAnsi"/>
          <w:i/>
          <w:iCs/>
          <w:kern w:val="0"/>
          <w:sz w:val="24"/>
          <w:szCs w:val="24"/>
          <w:lang w:eastAsia="fr-FR"/>
          <w14:ligatures w14:val="none"/>
        </w:rPr>
        <w:t xml:space="preserve"> Global Solar PV Supply </w:t>
      </w:r>
      <w:proofErr w:type="spellStart"/>
      <w:r w:rsidRPr="004C0886">
        <w:rPr>
          <w:rFonts w:asciiTheme="majorHAnsi" w:eastAsia="Times New Roman" w:hAnsiTheme="majorHAnsi" w:cstheme="majorHAnsi"/>
          <w:i/>
          <w:iCs/>
          <w:kern w:val="0"/>
          <w:sz w:val="24"/>
          <w:szCs w:val="24"/>
          <w:lang w:eastAsia="fr-FR"/>
          <w14:ligatures w14:val="none"/>
        </w:rPr>
        <w:t>Chains</w:t>
      </w:r>
      <w:proofErr w:type="spellEnd"/>
      <w:r w:rsidRPr="004C0886">
        <w:rPr>
          <w:rFonts w:asciiTheme="majorHAnsi" w:eastAsia="Times New Roman" w:hAnsiTheme="majorHAnsi" w:cstheme="majorHAnsi"/>
          <w:kern w:val="0"/>
          <w:sz w:val="24"/>
          <w:szCs w:val="24"/>
          <w:lang w:eastAsia="fr-FR"/>
          <w14:ligatures w14:val="none"/>
        </w:rPr>
        <w:t xml:space="preserve"> (Becquerel Institute, 2023), la capacité annuelle installée a atteint 240 GW en 2022, contre seulement 17 GW en 2010</w:t>
      </w:r>
      <w:r w:rsidR="00B36695" w:rsidRPr="004E17EE">
        <w:rPr>
          <w:rFonts w:asciiTheme="majorHAnsi" w:eastAsia="Times New Roman" w:hAnsiTheme="majorHAnsi" w:cstheme="majorHAnsi"/>
          <w:kern w:val="0"/>
          <w:sz w:val="24"/>
          <w:szCs w:val="24"/>
          <w:lang w:eastAsia="fr-FR"/>
          <w14:ligatures w14:val="none"/>
        </w:rPr>
        <w:t>.</w:t>
      </w:r>
    </w:p>
    <w:p w14:paraId="22C58533" w14:textId="77777777" w:rsidR="00B36695" w:rsidRPr="004E17EE" w:rsidRDefault="00B36695" w:rsidP="00B36695">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kern w:val="0"/>
          <w:sz w:val="24"/>
          <w:szCs w:val="24"/>
          <w:lang w:eastAsia="fr-FR"/>
          <w14:ligatures w14:val="none"/>
        </w:rPr>
        <w:drawing>
          <wp:inline distT="0" distB="0" distL="0" distR="0" wp14:anchorId="77F80031" wp14:editId="75D000DA">
            <wp:extent cx="5757709" cy="2210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882"/>
                    <a:stretch/>
                  </pic:blipFill>
                  <pic:spPr bwMode="auto">
                    <a:xfrm>
                      <a:off x="0" y="0"/>
                      <a:ext cx="5766828" cy="2213936"/>
                    </a:xfrm>
                    <a:prstGeom prst="rect">
                      <a:avLst/>
                    </a:prstGeom>
                    <a:ln>
                      <a:noFill/>
                    </a:ln>
                    <a:extLst>
                      <a:ext uri="{53640926-AAD7-44D8-BBD7-CCE9431645EC}">
                        <a14:shadowObscured xmlns:a14="http://schemas.microsoft.com/office/drawing/2010/main"/>
                      </a:ext>
                    </a:extLst>
                  </pic:spPr>
                </pic:pic>
              </a:graphicData>
            </a:graphic>
          </wp:inline>
        </w:drawing>
      </w:r>
    </w:p>
    <w:p w14:paraId="0C0661E7" w14:textId="0A033932" w:rsidR="00B36695" w:rsidRPr="004C0886" w:rsidRDefault="00B36695" w:rsidP="00B36695">
      <w:pPr>
        <w:pStyle w:val="Lgende"/>
        <w:jc w:val="center"/>
        <w:rPr>
          <w:rFonts w:asciiTheme="majorHAnsi" w:eastAsia="Times New Roman" w:hAnsiTheme="majorHAnsi" w:cstheme="majorHAnsi"/>
          <w:kern w:val="0"/>
          <w:sz w:val="24"/>
          <w:szCs w:val="24"/>
          <w:lang w:val="en-US" w:eastAsia="fr-FR"/>
          <w14:ligatures w14:val="none"/>
        </w:rPr>
      </w:pPr>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p>
    <w:p w14:paraId="32648281" w14:textId="77777777" w:rsidR="00DF66D0" w:rsidRPr="004E17EE"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En parallèle, la logistique et le transport des composants solaires représentent un défi stratégique, influençant directement la rentabilité et la compétitivité des acteurs de la filière. La concentration des chaînes d’approvisionnement en Asie, notamment en Chine, crée des vulnérabilités, notamment face aux tensions commerciales et aux crises globales.</w:t>
      </w:r>
    </w:p>
    <w:p w14:paraId="2F0AF89E" w14:textId="77777777" w:rsidR="00DF66D0" w:rsidRPr="004E17EE" w:rsidRDefault="00DF66D0" w:rsidP="00DF66D0">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kern w:val="0"/>
          <w:sz w:val="24"/>
          <w:szCs w:val="24"/>
          <w:lang w:eastAsia="fr-FR"/>
          <w14:ligatures w14:val="none"/>
        </w:rPr>
        <w:drawing>
          <wp:inline distT="0" distB="0" distL="0" distR="0" wp14:anchorId="48AE6D16" wp14:editId="687FDC3F">
            <wp:extent cx="4462547" cy="225870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990" cy="2272595"/>
                    </a:xfrm>
                    <a:prstGeom prst="rect">
                      <a:avLst/>
                    </a:prstGeom>
                  </pic:spPr>
                </pic:pic>
              </a:graphicData>
            </a:graphic>
          </wp:inline>
        </w:drawing>
      </w:r>
    </w:p>
    <w:p w14:paraId="5150BCC6" w14:textId="245DB9F3" w:rsidR="00DF66D0" w:rsidRPr="004E17EE" w:rsidRDefault="00DF66D0" w:rsidP="00DF66D0">
      <w:pPr>
        <w:pStyle w:val="Lgende"/>
        <w:jc w:val="center"/>
        <w:rPr>
          <w:rFonts w:asciiTheme="majorHAnsi" w:hAnsiTheme="majorHAnsi" w:cstheme="majorHAnsi"/>
        </w:rPr>
      </w:pPr>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rPr>
        <w:t>2</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r w:rsidRPr="004E17EE">
        <w:rPr>
          <w:rFonts w:asciiTheme="majorHAnsi" w:hAnsiTheme="majorHAnsi" w:cstheme="majorHAnsi"/>
        </w:rPr>
        <w:t>(</w:t>
      </w:r>
      <w:proofErr w:type="gramEnd"/>
      <w:r w:rsidRPr="004E17EE">
        <w:rPr>
          <w:rFonts w:asciiTheme="majorHAnsi" w:hAnsiTheme="majorHAnsi" w:cstheme="majorHAnsi"/>
        </w:rPr>
        <w:t>Sources : Becquerel Institute)</w:t>
      </w:r>
    </w:p>
    <w:p w14:paraId="6FF52149" w14:textId="7D6E6BA2" w:rsidR="004C0886" w:rsidRPr="004C0886"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lastRenderedPageBreak/>
        <w:t>Il devient alors crucial d’anticiper les variations de coûts et de mettre en place des stratégies d’optimisation logistique et de gestion des stocks.</w:t>
      </w:r>
    </w:p>
    <w:p w14:paraId="2A0AED20"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 xml:space="preserve">L’émergence du Machine Learning (ML) et des technologies d’IA offre aujourd’hui des outils performants pour prévoir les fluctuations des prix des matières premières et optimiser les flux de transport. En exploitant des données en temps réel et des modèles prédictifs avancés, les entreprises peuvent améliorer leur prise de décision et renforcer la résilience de leur </w:t>
      </w:r>
      <w:proofErr w:type="spellStart"/>
      <w:r w:rsidRPr="004C0886">
        <w:rPr>
          <w:rFonts w:asciiTheme="majorHAnsi" w:eastAsia="Times New Roman" w:hAnsiTheme="majorHAnsi" w:cstheme="majorHAnsi"/>
          <w:kern w:val="0"/>
          <w:sz w:val="24"/>
          <w:szCs w:val="24"/>
          <w:lang w:eastAsia="fr-FR"/>
          <w14:ligatures w14:val="none"/>
        </w:rPr>
        <w:t>supply</w:t>
      </w:r>
      <w:proofErr w:type="spellEnd"/>
      <w:r w:rsidRPr="004C0886">
        <w:rPr>
          <w:rFonts w:asciiTheme="majorHAnsi" w:eastAsia="Times New Roman" w:hAnsiTheme="majorHAnsi" w:cstheme="majorHAnsi"/>
          <w:kern w:val="0"/>
          <w:sz w:val="24"/>
          <w:szCs w:val="24"/>
          <w:lang w:eastAsia="fr-FR"/>
          <w14:ligatures w14:val="none"/>
        </w:rPr>
        <w:t xml:space="preserve"> </w:t>
      </w:r>
      <w:proofErr w:type="spellStart"/>
      <w:r w:rsidRPr="004C0886">
        <w:rPr>
          <w:rFonts w:asciiTheme="majorHAnsi" w:eastAsia="Times New Roman" w:hAnsiTheme="majorHAnsi" w:cstheme="majorHAnsi"/>
          <w:kern w:val="0"/>
          <w:sz w:val="24"/>
          <w:szCs w:val="24"/>
          <w:lang w:eastAsia="fr-FR"/>
          <w14:ligatures w14:val="none"/>
        </w:rPr>
        <w:t>chain</w:t>
      </w:r>
      <w:proofErr w:type="spellEnd"/>
      <w:r w:rsidRPr="004C0886">
        <w:rPr>
          <w:rFonts w:asciiTheme="majorHAnsi" w:eastAsia="Times New Roman" w:hAnsiTheme="majorHAnsi" w:cstheme="majorHAnsi"/>
          <w:kern w:val="0"/>
          <w:sz w:val="24"/>
          <w:szCs w:val="24"/>
          <w:lang w:eastAsia="fr-FR"/>
          <w14:ligatures w14:val="none"/>
        </w:rPr>
        <w:t xml:space="preserve"> solaire.</w:t>
      </w:r>
    </w:p>
    <w:p w14:paraId="71C158DF"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Face à ces défis, ce mémoire s’interroge sur les axes suivants :</w:t>
      </w:r>
    </w:p>
    <w:p w14:paraId="217B507C" w14:textId="68FDBE1C" w:rsidR="004C0886" w:rsidRPr="006B06D7" w:rsidRDefault="004E17EE" w:rsidP="00064A53">
      <w:pPr>
        <w:spacing w:before="100" w:beforeAutospacing="1" w:after="120" w:line="240" w:lineRule="auto"/>
        <w:rPr>
          <w:rFonts w:asciiTheme="majorHAnsi" w:eastAsia="Times New Roman" w:hAnsiTheme="majorHAnsi" w:cstheme="majorHAnsi"/>
          <w:kern w:val="0"/>
          <w:sz w:val="24"/>
          <w:szCs w:val="24"/>
          <w:lang w:eastAsia="fr-FR"/>
          <w14:ligatures w14:val="none"/>
        </w:rPr>
      </w:pPr>
      <w:r w:rsidRPr="004E17EE">
        <w:rPr>
          <w:rFonts w:asciiTheme="majorHAnsi" w:eastAsia="Times New Roman" w:hAnsiTheme="majorHAnsi" w:cstheme="majorHAnsi"/>
          <w:b/>
          <w:bCs/>
          <w:kern w:val="0"/>
          <w:sz w:val="24"/>
          <w:szCs w:val="24"/>
          <w:lang w:eastAsia="fr-FR"/>
          <w14:ligatures w14:val="none"/>
        </w:rPr>
        <w:t xml:space="preserve">Quels sont les principaux facteurs influençant les variations des coûts des composants photovoltaïques </w:t>
      </w:r>
      <w:r w:rsidR="004C0886" w:rsidRPr="004C0886">
        <w:rPr>
          <w:rFonts w:asciiTheme="majorHAnsi" w:eastAsia="Times New Roman" w:hAnsiTheme="majorHAnsi" w:cstheme="majorHAnsi"/>
          <w:b/>
          <w:bCs/>
          <w:kern w:val="0"/>
          <w:sz w:val="24"/>
          <w:szCs w:val="24"/>
          <w:lang w:eastAsia="fr-FR"/>
          <w14:ligatures w14:val="none"/>
        </w:rPr>
        <w:t xml:space="preserve">dans la </w:t>
      </w:r>
      <w:proofErr w:type="spellStart"/>
      <w:r w:rsidR="004C0886" w:rsidRPr="004C0886">
        <w:rPr>
          <w:rFonts w:asciiTheme="majorHAnsi" w:eastAsia="Times New Roman" w:hAnsiTheme="majorHAnsi" w:cstheme="majorHAnsi"/>
          <w:b/>
          <w:bCs/>
          <w:kern w:val="0"/>
          <w:sz w:val="24"/>
          <w:szCs w:val="24"/>
          <w:lang w:eastAsia="fr-FR"/>
          <w14:ligatures w14:val="none"/>
        </w:rPr>
        <w:t>supply</w:t>
      </w:r>
      <w:proofErr w:type="spellEnd"/>
      <w:r w:rsidR="004C0886" w:rsidRPr="004C0886">
        <w:rPr>
          <w:rFonts w:asciiTheme="majorHAnsi" w:eastAsia="Times New Roman" w:hAnsiTheme="majorHAnsi" w:cstheme="majorHAnsi"/>
          <w:b/>
          <w:bCs/>
          <w:kern w:val="0"/>
          <w:sz w:val="24"/>
          <w:szCs w:val="24"/>
          <w:lang w:eastAsia="fr-FR"/>
          <w14:ligatures w14:val="none"/>
        </w:rPr>
        <w:t xml:space="preserve"> </w:t>
      </w:r>
      <w:proofErr w:type="spellStart"/>
      <w:r w:rsidR="004C0886" w:rsidRPr="004C0886">
        <w:rPr>
          <w:rFonts w:asciiTheme="majorHAnsi" w:eastAsia="Times New Roman" w:hAnsiTheme="majorHAnsi" w:cstheme="majorHAnsi"/>
          <w:b/>
          <w:bCs/>
          <w:kern w:val="0"/>
          <w:sz w:val="24"/>
          <w:szCs w:val="24"/>
          <w:lang w:eastAsia="fr-FR"/>
          <w14:ligatures w14:val="none"/>
        </w:rPr>
        <w:t>chain</w:t>
      </w:r>
      <w:proofErr w:type="spellEnd"/>
      <w:r w:rsidR="004C0886" w:rsidRPr="004C0886">
        <w:rPr>
          <w:rFonts w:asciiTheme="majorHAnsi" w:eastAsia="Times New Roman" w:hAnsiTheme="majorHAnsi" w:cstheme="majorHAnsi"/>
          <w:b/>
          <w:bCs/>
          <w:kern w:val="0"/>
          <w:sz w:val="24"/>
          <w:szCs w:val="24"/>
          <w:lang w:eastAsia="fr-FR"/>
          <w14:ligatures w14:val="none"/>
        </w:rPr>
        <w:t xml:space="preserve"> solaire ?</w:t>
      </w:r>
    </w:p>
    <w:p w14:paraId="5AC5E7F1" w14:textId="77777777" w:rsidR="006B06D7" w:rsidRDefault="006B06D7" w:rsidP="006B06D7">
      <w:pPr>
        <w:keepNext/>
        <w:spacing w:before="100" w:beforeAutospacing="1" w:after="100" w:afterAutospacing="1" w:line="240" w:lineRule="auto"/>
        <w:ind w:left="720"/>
      </w:pPr>
      <w:r w:rsidRPr="006B06D7">
        <w:rPr>
          <w:rFonts w:asciiTheme="majorHAnsi" w:eastAsia="Times New Roman" w:hAnsiTheme="majorHAnsi" w:cstheme="majorHAnsi"/>
          <w:kern w:val="0"/>
          <w:sz w:val="24"/>
          <w:szCs w:val="24"/>
          <w:lang w:eastAsia="fr-FR"/>
          <w14:ligatures w14:val="none"/>
        </w:rPr>
        <w:drawing>
          <wp:inline distT="0" distB="0" distL="0" distR="0" wp14:anchorId="4A21D80C" wp14:editId="599460F5">
            <wp:extent cx="4680585" cy="3050274"/>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07" cy="3069122"/>
                    </a:xfrm>
                    <a:prstGeom prst="rect">
                      <a:avLst/>
                    </a:prstGeom>
                  </pic:spPr>
                </pic:pic>
              </a:graphicData>
            </a:graphic>
          </wp:inline>
        </w:drawing>
      </w:r>
    </w:p>
    <w:p w14:paraId="02B66428" w14:textId="7456E302" w:rsidR="006B06D7" w:rsidRPr="004C0886" w:rsidRDefault="006B06D7" w:rsidP="006B06D7">
      <w:pPr>
        <w:pStyle w:val="Lgende"/>
        <w:jc w:val="center"/>
        <w:rPr>
          <w:rFonts w:asciiTheme="majorHAnsi" w:eastAsia="Times New Roman" w:hAnsiTheme="majorHAnsi" w:cstheme="majorHAnsi"/>
          <w:kern w:val="0"/>
          <w:sz w:val="24"/>
          <w:szCs w:val="24"/>
          <w:lang w:eastAsia="fr-FR"/>
          <w14:ligatures w14:val="none"/>
        </w:rPr>
      </w:pPr>
      <w:r>
        <w:t xml:space="preserve">Figure </w:t>
      </w:r>
      <w:fldSimple w:instr=" SEQ Figure \* ARABIC ">
        <w:r w:rsidR="00F359D5">
          <w:rPr>
            <w:noProof/>
          </w:rPr>
          <w:t>3</w:t>
        </w:r>
      </w:fldSimple>
      <w:r>
        <w:t xml:space="preserve">: </w:t>
      </w:r>
      <w:r w:rsidRPr="00AC0487">
        <w:t xml:space="preserve">Évolution des prix du </w:t>
      </w:r>
      <w:proofErr w:type="spellStart"/>
      <w:r w:rsidRPr="00AC0487">
        <w:t>polysilicium</w:t>
      </w:r>
      <w:proofErr w:type="spellEnd"/>
      <w:r w:rsidRPr="00AC0487">
        <w:t xml:space="preserve"> entre 2018 et 2022 </w:t>
      </w:r>
      <w:r>
        <w:t xml:space="preserve">                                                                                                        </w:t>
      </w:r>
      <w:proofErr w:type="gramStart"/>
      <w:r>
        <w:t xml:space="preserve">   </w:t>
      </w:r>
      <w:r w:rsidRPr="00AC0487">
        <w:t>(</w:t>
      </w:r>
      <w:proofErr w:type="gramEnd"/>
      <w:r w:rsidRPr="00AC0487">
        <w:t xml:space="preserve">Sources : </w:t>
      </w:r>
      <w:proofErr w:type="spellStart"/>
      <w:r w:rsidRPr="00AC0487">
        <w:t>Energytrend</w:t>
      </w:r>
      <w:proofErr w:type="spellEnd"/>
      <w:r w:rsidRPr="00AC0487">
        <w:t xml:space="preserve">, </w:t>
      </w:r>
      <w:proofErr w:type="spellStart"/>
      <w:r w:rsidRPr="00AC0487">
        <w:t>Infolink</w:t>
      </w:r>
      <w:proofErr w:type="spellEnd"/>
      <w:r w:rsidRPr="00AC0487">
        <w:t>)</w:t>
      </w:r>
    </w:p>
    <w:p w14:paraId="12CB7573"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Comment le Machine Learning peut-il améliorer la prévision des prix et optimiser la gestion des stocks ?</w:t>
      </w:r>
    </w:p>
    <w:p w14:paraId="22656C6F"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Quelles stratégies logistiques permettent de minimiser les coûts de transport tout en garantissant une continuité d’approvisionnement ?</w:t>
      </w:r>
    </w:p>
    <w:p w14:paraId="2DE5CC4D" w14:textId="05A39766" w:rsidR="00F359D5" w:rsidRDefault="00064A53" w:rsidP="00064A53">
      <w:pPr>
        <w:keepNext/>
        <w:spacing w:before="100" w:beforeAutospacing="1" w:after="100" w:afterAutospacing="1" w:line="240" w:lineRule="auto"/>
      </w:pPr>
      <w:r w:rsidRPr="00064A53">
        <w:rPr>
          <w:rFonts w:asciiTheme="majorHAnsi" w:eastAsia="Times New Roman" w:hAnsiTheme="majorHAnsi" w:cstheme="majorHAnsi"/>
          <w:kern w:val="0"/>
          <w:sz w:val="24"/>
          <w:szCs w:val="24"/>
          <w:lang w:eastAsia="fr-FR"/>
          <w14:ligatures w14:val="none"/>
        </w:rPr>
        <w:t xml:space="preserve">Dans un contexte où la </w:t>
      </w:r>
      <w:proofErr w:type="spellStart"/>
      <w:r w:rsidRPr="00064A53">
        <w:rPr>
          <w:rFonts w:asciiTheme="majorHAnsi" w:eastAsia="Times New Roman" w:hAnsiTheme="majorHAnsi" w:cstheme="majorHAnsi"/>
          <w:kern w:val="0"/>
          <w:sz w:val="24"/>
          <w:szCs w:val="24"/>
          <w:lang w:eastAsia="fr-FR"/>
          <w14:ligatures w14:val="none"/>
        </w:rPr>
        <w:t>supply</w:t>
      </w:r>
      <w:proofErr w:type="spellEnd"/>
      <w:r w:rsidRPr="00064A53">
        <w:rPr>
          <w:rFonts w:asciiTheme="majorHAnsi" w:eastAsia="Times New Roman" w:hAnsiTheme="majorHAnsi" w:cstheme="majorHAnsi"/>
          <w:kern w:val="0"/>
          <w:sz w:val="24"/>
          <w:szCs w:val="24"/>
          <w:lang w:eastAsia="fr-FR"/>
          <w14:ligatures w14:val="none"/>
        </w:rPr>
        <w:t xml:space="preserve"> </w:t>
      </w:r>
      <w:proofErr w:type="spellStart"/>
      <w:r w:rsidRPr="00064A53">
        <w:rPr>
          <w:rFonts w:asciiTheme="majorHAnsi" w:eastAsia="Times New Roman" w:hAnsiTheme="majorHAnsi" w:cstheme="majorHAnsi"/>
          <w:kern w:val="0"/>
          <w:sz w:val="24"/>
          <w:szCs w:val="24"/>
          <w:lang w:eastAsia="fr-FR"/>
          <w14:ligatures w14:val="none"/>
        </w:rPr>
        <w:t>chain</w:t>
      </w:r>
      <w:proofErr w:type="spellEnd"/>
      <w:r w:rsidRPr="00064A53">
        <w:rPr>
          <w:rFonts w:asciiTheme="majorHAnsi" w:eastAsia="Times New Roman" w:hAnsiTheme="majorHAnsi" w:cstheme="majorHAnsi"/>
          <w:kern w:val="0"/>
          <w:sz w:val="24"/>
          <w:szCs w:val="24"/>
          <w:lang w:eastAsia="fr-FR"/>
          <w14:ligatures w14:val="none"/>
        </w:rPr>
        <w:t xml:space="preserve"> solaire est confrontée à des fluctuations importantes des coûts des matières premières et à des défis logistiques croissants, il devient essentiel d’identifier les facteurs clés influençant ces variations et d’explorer des solutions pour anticiper et atténuer leurs impacts. Ce mémoire s’inscrit dans cette démarche en cherchant à analyser l’évolution des prix des composants photovoltaïques tels que le silicium, l’argent, l’aluminium et le verre, afin de mieux comprendre les dynamiques du marché. Dans cette optique, il propose de développer un modèle de </w:t>
      </w:r>
      <w:r w:rsidRPr="00064A53">
        <w:rPr>
          <w:rFonts w:asciiTheme="majorHAnsi" w:eastAsia="Times New Roman" w:hAnsiTheme="majorHAnsi" w:cstheme="majorHAnsi"/>
          <w:b/>
          <w:bCs/>
          <w:kern w:val="0"/>
          <w:sz w:val="24"/>
          <w:szCs w:val="24"/>
          <w:lang w:eastAsia="fr-FR"/>
          <w14:ligatures w14:val="none"/>
        </w:rPr>
        <w:t>Machine Learning</w:t>
      </w:r>
      <w:r w:rsidRPr="00064A53">
        <w:rPr>
          <w:rFonts w:asciiTheme="majorHAnsi" w:eastAsia="Times New Roman" w:hAnsiTheme="majorHAnsi" w:cstheme="majorHAnsi"/>
          <w:kern w:val="0"/>
          <w:sz w:val="24"/>
          <w:szCs w:val="24"/>
          <w:lang w:eastAsia="fr-FR"/>
          <w14:ligatures w14:val="none"/>
        </w:rPr>
        <w:t xml:space="preserve"> capable d’anticiper ces fluctuations et d’optimiser la gestion des stocks et des commandes, afin de réduire les risques d’approvisionnement et d’optimiser les coûts. De plus, l’étude portera une attention </w:t>
      </w:r>
      <w:r w:rsidRPr="00064A53">
        <w:rPr>
          <w:rFonts w:asciiTheme="majorHAnsi" w:eastAsia="Times New Roman" w:hAnsiTheme="majorHAnsi" w:cstheme="majorHAnsi"/>
          <w:kern w:val="0"/>
          <w:sz w:val="24"/>
          <w:szCs w:val="24"/>
          <w:lang w:eastAsia="fr-FR"/>
          <w14:ligatures w14:val="none"/>
        </w:rPr>
        <w:lastRenderedPageBreak/>
        <w:t xml:space="preserve">particulière aux stratégies de transport et de logistique, en évaluant les leviers permettant de minimiser les coûts tout en garantissant une continuité d’approvisionnement. Ainsi, en répondant aux problématiques soulevées, ce travail vise à proposer des solutions concrètes et innovantes pour renforcer la résilience de la </w:t>
      </w:r>
      <w:proofErr w:type="spellStart"/>
      <w:r w:rsidRPr="00064A53">
        <w:rPr>
          <w:rFonts w:asciiTheme="majorHAnsi" w:eastAsia="Times New Roman" w:hAnsiTheme="majorHAnsi" w:cstheme="majorHAnsi"/>
          <w:kern w:val="0"/>
          <w:sz w:val="24"/>
          <w:szCs w:val="24"/>
          <w:lang w:eastAsia="fr-FR"/>
          <w14:ligatures w14:val="none"/>
        </w:rPr>
        <w:t>supply</w:t>
      </w:r>
      <w:proofErr w:type="spellEnd"/>
      <w:r w:rsidRPr="00064A53">
        <w:rPr>
          <w:rFonts w:asciiTheme="majorHAnsi" w:eastAsia="Times New Roman" w:hAnsiTheme="majorHAnsi" w:cstheme="majorHAnsi"/>
          <w:kern w:val="0"/>
          <w:sz w:val="24"/>
          <w:szCs w:val="24"/>
          <w:lang w:eastAsia="fr-FR"/>
          <w14:ligatures w14:val="none"/>
        </w:rPr>
        <w:t xml:space="preserve"> </w:t>
      </w:r>
      <w:proofErr w:type="spellStart"/>
      <w:r w:rsidRPr="00064A53">
        <w:rPr>
          <w:rFonts w:asciiTheme="majorHAnsi" w:eastAsia="Times New Roman" w:hAnsiTheme="majorHAnsi" w:cstheme="majorHAnsi"/>
          <w:kern w:val="0"/>
          <w:sz w:val="24"/>
          <w:szCs w:val="24"/>
          <w:lang w:eastAsia="fr-FR"/>
          <w14:ligatures w14:val="none"/>
        </w:rPr>
        <w:t>chain</w:t>
      </w:r>
      <w:proofErr w:type="spellEnd"/>
      <w:r w:rsidRPr="00064A53">
        <w:rPr>
          <w:rFonts w:asciiTheme="majorHAnsi" w:eastAsia="Times New Roman" w:hAnsiTheme="majorHAnsi" w:cstheme="majorHAnsi"/>
          <w:kern w:val="0"/>
          <w:sz w:val="24"/>
          <w:szCs w:val="24"/>
          <w:lang w:eastAsia="fr-FR"/>
          <w14:ligatures w14:val="none"/>
        </w:rPr>
        <w:t xml:space="preserve"> solaire.</w:t>
      </w:r>
      <w:r w:rsidR="00F359D5" w:rsidRPr="00F359D5">
        <w:drawing>
          <wp:inline distT="0" distB="0" distL="0" distR="0" wp14:anchorId="538234B1" wp14:editId="1008B93C">
            <wp:extent cx="3364173" cy="2182495"/>
            <wp:effectExtent l="0" t="0" r="825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373" cy="2211818"/>
                    </a:xfrm>
                    <a:prstGeom prst="rect">
                      <a:avLst/>
                    </a:prstGeom>
                  </pic:spPr>
                </pic:pic>
              </a:graphicData>
            </a:graphic>
          </wp:inline>
        </w:drawing>
      </w:r>
    </w:p>
    <w:p w14:paraId="3B566DCE" w14:textId="2FE0A6CB" w:rsidR="00F12894" w:rsidRDefault="00F359D5" w:rsidP="00F359D5">
      <w:pPr>
        <w:pStyle w:val="Lgende"/>
        <w:jc w:val="center"/>
      </w:pPr>
      <w:r>
        <w:t xml:space="preserve">Figure </w:t>
      </w:r>
      <w:fldSimple w:instr=" SEQ Figure \* ARABIC ">
        <w:r>
          <w:rPr>
            <w:noProof/>
          </w:rPr>
          <w:t>4</w:t>
        </w:r>
      </w:fldSimple>
      <w:r>
        <w:t xml:space="preserve"> : </w:t>
      </w:r>
      <w:r>
        <w:t>L'évolution du coût du transport</w:t>
      </w:r>
      <w:r w:rsidRPr="00AF147B">
        <w:t xml:space="preserve"> (Sources : </w:t>
      </w:r>
      <w:proofErr w:type="spellStart"/>
      <w:r>
        <w:t>Drewry</w:t>
      </w:r>
      <w:proofErr w:type="spellEnd"/>
      <w:r w:rsidRPr="00AF147B">
        <w:t>)</w:t>
      </w:r>
    </w:p>
    <w:p w14:paraId="1FEAD782"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L’étude repose sur une approche combinant :</w:t>
      </w:r>
    </w:p>
    <w:p w14:paraId="0F5A5060"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documentaire : revue des tendances du marché solaire et des rapports spécialisés (IEA, IRENA, Becquerel Institute).</w:t>
      </w:r>
    </w:p>
    <w:p w14:paraId="16CA248E"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des données : traitement de séries historiques sur les prix des matières premières et les coûts logistiques.</w:t>
      </w:r>
    </w:p>
    <w:p w14:paraId="63E91F78"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Modélisation prédictive : utilisation d’algorithmes de Machine Learning (régressions, réseaux neuronaux, ARIMA) pour la prévision des coûts et l’optimisation des stocks.</w:t>
      </w:r>
    </w:p>
    <w:p w14:paraId="3C873E63" w14:textId="0A1A271F" w:rsidR="00395BAB" w:rsidRPr="004E17EE"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Études de cas : analyse des stratégies de gestion des stocks et de transport mises en place par les acteurs majeurs du secteur photovoltaïque.</w:t>
      </w:r>
    </w:p>
    <w:sectPr w:rsidR="00395BAB" w:rsidRPr="004E1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1"/>
  </w:num>
  <w:num w:numId="2" w16cid:durableId="153954659">
    <w:abstractNumId w:val="3"/>
  </w:num>
  <w:num w:numId="3" w16cid:durableId="2041474166">
    <w:abstractNumId w:val="2"/>
  </w:num>
  <w:num w:numId="4" w16cid:durableId="892275454">
    <w:abstractNumId w:val="4"/>
  </w:num>
  <w:num w:numId="5" w16cid:durableId="159077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B2"/>
    <w:rsid w:val="000261E4"/>
    <w:rsid w:val="00064A53"/>
    <w:rsid w:val="00070AA7"/>
    <w:rsid w:val="001600C4"/>
    <w:rsid w:val="003502B2"/>
    <w:rsid w:val="00353554"/>
    <w:rsid w:val="00395BAB"/>
    <w:rsid w:val="00473800"/>
    <w:rsid w:val="004C0886"/>
    <w:rsid w:val="004E17EE"/>
    <w:rsid w:val="006B06D7"/>
    <w:rsid w:val="0078347B"/>
    <w:rsid w:val="00B36695"/>
    <w:rsid w:val="00C85882"/>
    <w:rsid w:val="00D467F5"/>
    <w:rsid w:val="00DF66D0"/>
    <w:rsid w:val="00E661C1"/>
    <w:rsid w:val="00F12894"/>
    <w:rsid w:val="00F359D5"/>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1CC4"/>
  <w15:chartTrackingRefBased/>
  <w15:docId w15:val="{9772DBAE-3EF3-4350-94DE-EA7D6F33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C4"/>
  </w:style>
  <w:style w:type="paragraph" w:styleId="Titre1">
    <w:name w:val="heading 1"/>
    <w:basedOn w:val="Normal"/>
    <w:next w:val="Normal"/>
    <w:link w:val="Titre1Car"/>
    <w:uiPriority w:val="9"/>
    <w:qFormat/>
    <w:rsid w:val="004E17EE"/>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Titre2">
    <w:name w:val="heading 2"/>
    <w:basedOn w:val="Normal"/>
    <w:link w:val="Titre2Car"/>
    <w:uiPriority w:val="9"/>
    <w:qFormat/>
    <w:rsid w:val="004E17EE"/>
    <w:pPr>
      <w:spacing w:before="100" w:beforeAutospacing="1" w:after="100" w:afterAutospacing="1" w:line="240" w:lineRule="auto"/>
      <w:outlineLvl w:val="1"/>
    </w:pPr>
    <w:rPr>
      <w:rFonts w:asciiTheme="majorHAnsi" w:eastAsia="Times New Roman" w:hAnsiTheme="majorHAnsi" w:cs="Times New Roman"/>
      <w:b/>
      <w:bCs/>
      <w:kern w:val="0"/>
      <w:sz w:val="32"/>
      <w:szCs w:val="36"/>
      <w:lang w:eastAsia="fr-FR"/>
      <w14:ligatures w14:val="none"/>
    </w:rPr>
  </w:style>
  <w:style w:type="paragraph" w:styleId="Titre3">
    <w:name w:val="heading 3"/>
    <w:basedOn w:val="Normal"/>
    <w:link w:val="Titre3Car"/>
    <w:uiPriority w:val="9"/>
    <w:qFormat/>
    <w:rsid w:val="004C08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17EE"/>
    <w:rPr>
      <w:rFonts w:asciiTheme="majorHAnsi" w:eastAsia="Times New Roman" w:hAnsiTheme="majorHAnsi" w:cs="Times New Roman"/>
      <w:b/>
      <w:bCs/>
      <w:kern w:val="0"/>
      <w:sz w:val="32"/>
      <w:szCs w:val="36"/>
      <w:lang w:eastAsia="fr-FR"/>
      <w14:ligatures w14:val="none"/>
    </w:rPr>
  </w:style>
  <w:style w:type="character" w:customStyle="1" w:styleId="Titre3Car">
    <w:name w:val="Titre 3 Car"/>
    <w:basedOn w:val="Policepardfaut"/>
    <w:link w:val="Titre3"/>
    <w:uiPriority w:val="9"/>
    <w:rsid w:val="004C0886"/>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4C0886"/>
    <w:rPr>
      <w:b/>
      <w:bCs/>
    </w:rPr>
  </w:style>
  <w:style w:type="paragraph" w:styleId="NormalWeb">
    <w:name w:val="Normal (Web)"/>
    <w:basedOn w:val="Normal"/>
    <w:uiPriority w:val="99"/>
    <w:semiHidden/>
    <w:unhideWhenUsed/>
    <w:rsid w:val="004C088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4E17EE"/>
    <w:rPr>
      <w:rFonts w:asciiTheme="majorHAnsi" w:eastAsiaTheme="majorEastAsia" w:hAnsiTheme="majorHAnsi"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5</Pages>
  <Words>719</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11</cp:revision>
  <dcterms:created xsi:type="dcterms:W3CDTF">2025-01-30T14:52:00Z</dcterms:created>
  <dcterms:modified xsi:type="dcterms:W3CDTF">2025-01-31T11:17:00Z</dcterms:modified>
</cp:coreProperties>
</file>