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E3A5F"/>
          <w:sz w:val="40"/>
          <w:szCs w:val="40"/>
        </w:rPr>
        <w:t xml:space="preserve">ESISA</w:t>
      </w:r>
    </w:p>
    <w:p>
      <w:pPr>
        <w:spacing w:after="60"/>
        <w:jc w:val="center"/>
      </w:pPr>
      <w:r>
        <w:rPr>
          <w:rFonts w:ascii="Arial" w:cs="Arial" w:eastAsia="Arial" w:hAnsi="Arial"/>
          <w:i/>
          <w:iCs/>
          <w:color w:val="555555"/>
          <w:sz w:val="22"/>
          <w:szCs w:val="22"/>
        </w:rPr>
        <w:t xml:space="preserve">École Supérieure d'Ingénierie en Sciences Appliquées — Fès</w:t>
      </w:r>
    </w:p>
    <w:p>
      <w:pPr>
        <w:spacing w:after="60"/>
        <w:jc w:val="center"/>
      </w:pPr>
      <w:r>
        <w:rPr>
          <w:rFonts w:ascii="Arial" w:cs="Arial" w:eastAsia="Arial" w:hAnsi="Arial"/>
          <w:color w:val="555555"/>
          <w:sz w:val="20"/>
          <w:szCs w:val="20"/>
        </w:rPr>
        <w:t xml:space="preserve">4ème Année — ISIIA</w:t>
      </w:r>
    </w:p>
    <w:p>
      <w:pPr>
        <w:spacing w:after="100"/>
      </w:pPr>
    </w:p>
    <w:p>
      <w:pPr>
        <w:spacing w:after="100"/>
      </w:pPr>
    </w:p>
    <w:p>
      <w:pPr>
        <w:pBdr>
          <w:bottom w:val="single" w:color="1E3A5F" w:sz="6" w:space="1"/>
        </w:pBdr>
        <w:spacing w:after="200"/>
        <w:jc w:val="center"/>
      </w:pPr>
    </w:p>
    <w:p>
      <w:pPr>
        <w:spacing w:after="100"/>
      </w:pPr>
    </w:p>
    <w:p>
      <w:pPr>
        <w:spacing w:after="80"/>
        <w:jc w:val="center"/>
      </w:pPr>
      <w:r>
        <w:rPr>
          <w:rFonts w:ascii="Arial" w:cs="Arial" w:eastAsia="Arial" w:hAnsi="Arial"/>
          <w:color w:val="2E86AB"/>
          <w:sz w:val="26"/>
          <w:szCs w:val="26"/>
        </w:rPr>
        <w:t xml:space="preserve">Rapport de Projet Data Mining</w:t>
      </w:r>
    </w:p>
    <w:p>
      <w:pPr>
        <w:spacing w:after="300"/>
        <w:jc w:val="center"/>
      </w:pPr>
      <w:r>
        <w:rPr>
          <w:rFonts w:ascii="Arial" w:cs="Arial" w:eastAsia="Arial" w:hAnsi="Arial"/>
          <w:b/>
          <w:bCs/>
          <w:color w:val="1E3A5F"/>
          <w:sz w:val="42"/>
          <w:szCs w:val="42"/>
        </w:rPr>
        <w:t xml:space="preserve">Scoring Crédit des Clients Bancaires</w:t>
      </w:r>
    </w:p>
    <w:p>
      <w:pPr>
        <w:spacing w:after="100"/>
      </w:pPr>
    </w:p>
    <w:p>
      <w:pPr>
        <w:pBdr>
          <w:bottom w:val="single" w:color="1E3A5F" w:sz="6" w:space="1"/>
        </w:pBdr>
        <w:spacing w:after="300"/>
        <w:jc w:val="center"/>
      </w:pPr>
    </w:p>
    <w:p>
      <w:pPr>
        <w:spacing w:after="100"/>
      </w:pPr>
    </w:p>
    <w:p>
      <w:pPr>
        <w:spacing w:after="100"/>
      </w:pPr>
    </w:p>
    <w:p>
      <w:pPr>
        <w:spacing w:after="60"/>
        <w:jc w:val="center"/>
      </w:pPr>
      <w:r>
        <w:rPr>
          <w:rFonts w:ascii="Arial" w:cs="Arial" w:eastAsia="Arial" w:hAnsi="Arial"/>
          <w:color w:val="777777"/>
          <w:sz w:val="20"/>
          <w:szCs w:val="20"/>
        </w:rPr>
        <w:t xml:space="preserve">Réalisé par :</w:t>
      </w:r>
    </w:p>
    <w:p>
      <w:pPr>
        <w:spacing w:after="40"/>
        <w:jc w:val="center"/>
      </w:pPr>
      <w:r>
        <w:rPr>
          <w:rFonts w:ascii="Arial" w:cs="Arial" w:eastAsia="Arial" w:hAnsi="Arial"/>
          <w:b/>
          <w:bCs/>
          <w:color w:val="2C3E50"/>
          <w:sz w:val="24"/>
          <w:szCs w:val="24"/>
        </w:rPr>
        <w:t xml:space="preserve">BOUTAYEB Marouane</w:t>
      </w:r>
    </w:p>
    <w:p>
      <w:pPr>
        <w:spacing w:after="200"/>
        <w:jc w:val="center"/>
      </w:pPr>
      <w:r>
        <w:rPr>
          <w:rFonts w:ascii="Arial" w:cs="Arial" w:eastAsia="Arial" w:hAnsi="Arial"/>
          <w:b/>
          <w:bCs/>
          <w:color w:val="2C3E50"/>
          <w:sz w:val="24"/>
          <w:szCs w:val="24"/>
        </w:rPr>
        <w:t xml:space="preserve">Ahmed DIOURI</w:t>
      </w:r>
    </w:p>
    <w:p>
      <w:pPr>
        <w:spacing w:after="60"/>
        <w:jc w:val="center"/>
      </w:pPr>
      <w:r>
        <w:rPr>
          <w:rFonts w:ascii="Arial" w:cs="Arial" w:eastAsia="Arial" w:hAnsi="Arial"/>
          <w:color w:val="777777"/>
          <w:sz w:val="20"/>
          <w:szCs w:val="20"/>
        </w:rPr>
        <w:t xml:space="preserve">Encadré par :</w:t>
      </w:r>
    </w:p>
    <w:p>
      <w:pPr>
        <w:spacing w:after="200"/>
        <w:jc w:val="center"/>
      </w:pPr>
      <w:r>
        <w:rPr>
          <w:rFonts w:ascii="Arial" w:cs="Arial" w:eastAsia="Arial" w:hAnsi="Arial"/>
          <w:b/>
          <w:bCs/>
          <w:color w:val="2C3E50"/>
          <w:sz w:val="24"/>
          <w:szCs w:val="24"/>
        </w:rPr>
        <w:t xml:space="preserve">Pr. Mohamed EL FAR</w:t>
      </w:r>
    </w:p>
    <w:p>
      <w:pPr>
        <w:spacing w:after="100"/>
      </w:pPr>
    </w:p>
    <w:p>
      <w:pPr>
        <w:spacing w:after="100"/>
      </w:pPr>
    </w:p>
    <w:p>
      <w:pPr>
        <w:jc w:val="center"/>
      </w:pPr>
      <w:r>
        <w:rPr>
          <w:rFonts w:ascii="Arial" w:cs="Arial" w:eastAsia="Arial" w:hAnsi="Arial"/>
          <w:color w:val="999999"/>
          <w:sz w:val="22"/>
          <w:szCs w:val="22"/>
        </w:rPr>
        <w:t xml:space="preserve">Année universitaire 2025 — 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spacing w:after="200" w:before="360"/>
      </w:pPr>
      <w:r>
        <w:rPr>
          <w:rFonts w:ascii="Arial" w:cs="Arial" w:eastAsia="Arial" w:hAnsi="Arial"/>
          <w:b/>
          <w:bCs/>
        </w:rPr>
        <w:t xml:space="preserve">1. Introduction et contexte</w:t>
      </w:r>
    </w:p>
    <w:p>
      <w:pPr>
        <w:pStyle w:val="Heading2"/>
        <w:spacing w:after="160" w:before="280"/>
      </w:pPr>
      <w:r>
        <w:rPr>
          <w:rFonts w:ascii="Arial" w:cs="Arial" w:eastAsia="Arial" w:hAnsi="Arial"/>
          <w:b/>
          <w:bCs/>
        </w:rPr>
        <w:t xml:space="preserve">1.1 Contexte général</w:t>
      </w:r>
    </w:p>
    <w:p>
      <w:pPr>
        <w:spacing w:after="140" w:line="288"/>
        <w:jc w:val="both"/>
      </w:pPr>
      <w:r>
        <w:rPr>
          <w:rFonts w:ascii="Arial" w:cs="Arial" w:eastAsia="Arial" w:hAnsi="Arial"/>
          <w:color w:val="2C3E50"/>
          <w:sz w:val="22"/>
          <w:szCs w:val="22"/>
        </w:rPr>
        <w:t xml:space="preserve">Dans le secteur bancaire, l'octroi de crédit représente une activité fondamentale qui expose les institutions financières au risque de défaut de paiement. Avant d'accorder un prêt, la banque doit évaluer la capacité du client à honorer ses engagements financiers. Le scoring crédit est une technique de Data Mining qui permet d'automatiser et d'objectiver cette évaluation en attribuant un score numérique à chaque demandeur.</w:t>
      </w:r>
    </w:p>
    <w:p>
      <w:pPr>
        <w:spacing w:after="140" w:line="288"/>
        <w:jc w:val="both"/>
      </w:pPr>
      <w:r>
        <w:rPr>
          <w:rFonts w:ascii="Arial" w:cs="Arial" w:eastAsia="Arial" w:hAnsi="Arial"/>
          <w:color w:val="2C3E50"/>
          <w:sz w:val="22"/>
          <w:szCs w:val="22"/>
        </w:rPr>
        <w:t xml:space="preserve">Ce projet s'inscrit dans le cadre du module Data Mining de la 4ème année ISIIA à l'ESISA, sous la supervision du Pr. Mohamed EL FAR. L'objectif principal est de construire un modèle de classification interprétable capable de prédire le risque de défaut de paiement d'un client bancaire, puis de convertir cette prédiction en une grille de scoring opérationnelle pour l'aide à la décision.</w:t>
      </w:r>
    </w:p>
    <w:p>
      <w:pPr>
        <w:pStyle w:val="Heading2"/>
        <w:spacing w:after="160" w:before="280"/>
      </w:pPr>
      <w:r>
        <w:rPr>
          <w:rFonts w:ascii="Arial" w:cs="Arial" w:eastAsia="Arial" w:hAnsi="Arial"/>
          <w:b/>
          <w:bCs/>
        </w:rPr>
        <w:t xml:space="preserve">1.2 Problématique</w:t>
      </w:r>
    </w:p>
    <w:p>
      <w:pPr>
        <w:spacing w:after="140" w:line="288"/>
        <w:jc w:val="both"/>
      </w:pPr>
      <w:r>
        <w:rPr>
          <w:rFonts w:ascii="Arial" w:cs="Arial" w:eastAsia="Arial" w:hAnsi="Arial"/>
          <w:color w:val="2C3E50"/>
          <w:sz w:val="22"/>
          <w:szCs w:val="22"/>
        </w:rPr>
        <w:t xml:space="preserve">Comment prédire de manière fiable si un client présente un risque de défaut de paiement, et comment traduire cette prédiction en un outil de décision actionnable par les analystes de risque bancaire ?</w:t>
      </w:r>
    </w:p>
    <w:p>
      <w:pPr>
        <w:spacing w:after="140" w:line="288"/>
        <w:jc w:val="both"/>
      </w:pPr>
      <w:r>
        <w:rPr>
          <w:rFonts w:ascii="Arial" w:cs="Arial" w:eastAsia="Arial" w:hAnsi="Arial"/>
          <w:color w:val="2C3E50"/>
          <w:sz w:val="22"/>
          <w:szCs w:val="22"/>
        </w:rPr>
        <w:t xml:space="preserve">Cette problématique se décline en plusieurs sous-questions :</w:t>
      </w:r>
    </w:p>
    <w:p>
      <w:pPr>
        <w:pStyle w:val="ListParagraph"/>
        <w:numPr>
          <w:ilvl w:val="0"/>
          <w:numId w:val="2"/>
        </w:numPr>
        <w:spacing w:after="80" w:line="264"/>
      </w:pPr>
      <w:r>
        <w:rPr>
          <w:rFonts w:ascii="Arial" w:cs="Arial" w:eastAsia="Arial" w:hAnsi="Arial"/>
          <w:color w:val="2C3E50"/>
          <w:sz w:val="22"/>
          <w:szCs w:val="22"/>
        </w:rPr>
        <w:t xml:space="preserve">Quelles variables financières et sociodémographiques sont les plus discriminantes pour identifier un client à risque ?</w:t>
      </w:r>
    </w:p>
    <w:p>
      <w:pPr>
        <w:pStyle w:val="ListParagraph"/>
        <w:numPr>
          <w:ilvl w:val="0"/>
          <w:numId w:val="2"/>
        </w:numPr>
        <w:spacing w:after="80" w:line="264"/>
      </w:pPr>
      <w:r>
        <w:rPr>
          <w:rFonts w:ascii="Arial" w:cs="Arial" w:eastAsia="Arial" w:hAnsi="Arial"/>
          <w:color w:val="2C3E50"/>
          <w:sz w:val="22"/>
          <w:szCs w:val="22"/>
        </w:rPr>
        <w:t xml:space="preserve">Quel algorithme de classification offre le meilleur compromis entre performance prédictive et interprétabilité ?</w:t>
      </w:r>
    </w:p>
    <w:p>
      <w:pPr>
        <w:pStyle w:val="ListParagraph"/>
        <w:numPr>
          <w:ilvl w:val="0"/>
          <w:numId w:val="2"/>
        </w:numPr>
        <w:spacing w:after="80" w:line="264"/>
      </w:pPr>
      <w:r>
        <w:rPr>
          <w:rFonts w:ascii="Arial" w:cs="Arial" w:eastAsia="Arial" w:hAnsi="Arial"/>
          <w:color w:val="2C3E50"/>
          <w:sz w:val="22"/>
          <w:szCs w:val="22"/>
        </w:rPr>
        <w:t xml:space="preserve">Comment gérer le déséquilibre inhérent aux données de crédit (les défauts sont rares par nature) ?</w:t>
      </w:r>
    </w:p>
    <w:p>
      <w:pPr>
        <w:pStyle w:val="ListParagraph"/>
        <w:numPr>
          <w:ilvl w:val="0"/>
          <w:numId w:val="2"/>
        </w:numPr>
        <w:spacing w:after="80" w:line="264"/>
      </w:pPr>
      <w:r>
        <w:rPr>
          <w:rFonts w:ascii="Arial" w:cs="Arial" w:eastAsia="Arial" w:hAnsi="Arial"/>
          <w:color w:val="2C3E50"/>
          <w:sz w:val="22"/>
          <w:szCs w:val="22"/>
        </w:rPr>
        <w:t xml:space="preserve">Comment convertir un modèle probabiliste en une grille de scoring opérationnelle utilisable en production ?</w:t>
      </w:r>
    </w:p>
    <w:p>
      <w:pPr>
        <w:pStyle w:val="Heading2"/>
        <w:spacing w:after="160" w:before="280"/>
      </w:pPr>
      <w:r>
        <w:rPr>
          <w:rFonts w:ascii="Arial" w:cs="Arial" w:eastAsia="Arial" w:hAnsi="Arial"/>
          <w:b/>
          <w:bCs/>
        </w:rPr>
        <w:t xml:space="preserve">1.3 Objectifs du projet</w:t>
      </w:r>
    </w:p>
    <w:p>
      <w:pPr>
        <w:pStyle w:val="ListParagraph"/>
        <w:numPr>
          <w:ilvl w:val="0"/>
          <w:numId w:val="2"/>
        </w:numPr>
        <w:spacing w:after="80" w:line="264"/>
      </w:pPr>
      <w:r>
        <w:rPr>
          <w:rFonts w:ascii="Arial" w:cs="Arial" w:eastAsia="Arial" w:hAnsi="Arial"/>
          <w:color w:val="2C3E50"/>
          <w:sz w:val="22"/>
          <w:szCs w:val="22"/>
        </w:rPr>
        <w:t xml:space="preserve">Compréhension des données : analyser le profil statistique des 3 000 clients et identifier les patterns discriminants entre défaillants et non-défaillants.</w:t>
      </w:r>
    </w:p>
    <w:p>
      <w:pPr>
        <w:pStyle w:val="ListParagraph"/>
        <w:numPr>
          <w:ilvl w:val="0"/>
          <w:numId w:val="2"/>
        </w:numPr>
        <w:spacing w:after="80" w:line="264"/>
      </w:pPr>
      <w:r>
        <w:rPr>
          <w:rFonts w:ascii="Arial" w:cs="Arial" w:eastAsia="Arial" w:hAnsi="Arial"/>
          <w:color w:val="2C3E50"/>
          <w:sz w:val="22"/>
          <w:szCs w:val="22"/>
        </w:rPr>
        <w:t xml:space="preserve">Préparation des données : nettoyer les données, traiter les outliers, éliminer les sources de data leakage, et créer des variables dérivées (ratios financiers) enrichissant le pouvoir prédictif.</w:t>
      </w:r>
    </w:p>
    <w:p>
      <w:pPr>
        <w:pStyle w:val="ListParagraph"/>
        <w:numPr>
          <w:ilvl w:val="0"/>
          <w:numId w:val="2"/>
        </w:numPr>
        <w:spacing w:after="80" w:line="264"/>
      </w:pPr>
      <w:r>
        <w:rPr>
          <w:rFonts w:ascii="Arial" w:cs="Arial" w:eastAsia="Arial" w:hAnsi="Arial"/>
          <w:color w:val="2C3E50"/>
          <w:sz w:val="22"/>
          <w:szCs w:val="22"/>
        </w:rPr>
        <w:t xml:space="preserve">Modélisation : entraîner et optimiser quatre algorithmes de classification (Régression Logistique, Arbre de Décision, Random Forest, SVM) avec une gestion rigoureuse du déséquilibre des classes via SMOTE.</w:t>
      </w:r>
    </w:p>
    <w:p>
      <w:pPr>
        <w:pStyle w:val="ListParagraph"/>
        <w:numPr>
          <w:ilvl w:val="0"/>
          <w:numId w:val="2"/>
        </w:numPr>
        <w:spacing w:after="80" w:line="264"/>
      </w:pPr>
      <w:r>
        <w:rPr>
          <w:rFonts w:ascii="Arial" w:cs="Arial" w:eastAsia="Arial" w:hAnsi="Arial"/>
          <w:color w:val="2C3E50"/>
          <w:sz w:val="22"/>
          <w:szCs w:val="22"/>
        </w:rPr>
        <w:t xml:space="preserve">Évaluation avancée : comparer les modèles avec des métriques spécifiques au scoring bancaire — AUC-ROC, statistique de Kolmogorov-Smirnov (KS), courbes Lift et Gain.</w:t>
      </w:r>
    </w:p>
    <w:p>
      <w:pPr>
        <w:pStyle w:val="ListParagraph"/>
        <w:numPr>
          <w:ilvl w:val="0"/>
          <w:numId w:val="2"/>
        </w:numPr>
        <w:spacing w:after="80" w:line="264"/>
      </w:pPr>
      <w:r>
        <w:rPr>
          <w:rFonts w:ascii="Arial" w:cs="Arial" w:eastAsia="Arial" w:hAnsi="Arial"/>
          <w:color w:val="2C3E50"/>
          <w:sz w:val="22"/>
          <w:szCs w:val="22"/>
        </w:rPr>
        <w:t xml:space="preserve">Interprétabilité : utiliser les valeurs SHAP (SHapley Additive exPlanations) pour garantir la transparence des prédictions.</w:t>
      </w:r>
    </w:p>
    <w:p>
      <w:pPr>
        <w:pStyle w:val="ListParagraph"/>
        <w:numPr>
          <w:ilvl w:val="0"/>
          <w:numId w:val="2"/>
        </w:numPr>
        <w:spacing w:after="80" w:line="264"/>
      </w:pPr>
      <w:r>
        <w:rPr>
          <w:rFonts w:ascii="Arial" w:cs="Arial" w:eastAsia="Arial" w:hAnsi="Arial"/>
          <w:color w:val="2C3E50"/>
          <w:sz w:val="22"/>
          <w:szCs w:val="22"/>
        </w:rPr>
        <w:t xml:space="preserve">Scoring opérationnel : construire une grille de scoring selon la méthode PDO (Points to Double the Odds) et proposer une politique de décision bancaire.</w:t>
      </w:r>
    </w:p>
    <w:p>
      <w:pPr>
        <w:pStyle w:val="Heading2"/>
        <w:spacing w:after="160" w:before="280"/>
      </w:pPr>
      <w:r>
        <w:rPr>
          <w:rFonts w:ascii="Arial" w:cs="Arial" w:eastAsia="Arial" w:hAnsi="Arial"/>
          <w:b/>
          <w:bCs/>
        </w:rPr>
        <w:t xml:space="preserve">1.4 Méthodologie et outils</w:t>
      </w:r>
    </w:p>
    <w:p>
      <w:pPr>
        <w:spacing w:after="140" w:line="288"/>
        <w:jc w:val="both"/>
      </w:pPr>
      <w:r>
        <w:rPr>
          <w:rFonts w:ascii="Arial" w:cs="Arial" w:eastAsia="Arial" w:hAnsi="Arial"/>
          <w:color w:val="2C3E50"/>
          <w:sz w:val="22"/>
          <w:szCs w:val="22"/>
        </w:rPr>
        <w:t xml:space="preserve">Le projet est implémenté en Python 3.12 avec une architecture modulaire en 7 étapes, orchestrées par un point d'entrée unique (main.py). Les bibliothèques principales sont : pandas et NumPy pour la manipulation des données, scikit-learn pour la modélisation, imbalanced-learn pour SMOTE, SHAP pour l'interprétabilité, et Matplotlib/Seaborn pour les visualisations.</w:t>
      </w:r>
    </w:p>
    <w:p>
      <w:pPr>
        <w:spacing w:after="0"/>
      </w:pPr>
      <w:r>
        <w:br w:type="page"/>
      </w:r>
    </w:p>
    <w:p>
      <w:pPr>
        <w:pStyle w:val="Heading1"/>
        <w:spacing w:after="200" w:before="360"/>
      </w:pPr>
      <w:r>
        <w:rPr>
          <w:rFonts w:ascii="Arial" w:cs="Arial" w:eastAsia="Arial" w:hAnsi="Arial"/>
          <w:b/>
          <w:bCs/>
        </w:rPr>
        <w:t xml:space="preserve">2. Description des données</w:t>
      </w:r>
    </w:p>
    <w:p>
      <w:pPr>
        <w:pStyle w:val="Heading2"/>
        <w:spacing w:after="160" w:before="280"/>
      </w:pPr>
      <w:r>
        <w:rPr>
          <w:rFonts w:ascii="Arial" w:cs="Arial" w:eastAsia="Arial" w:hAnsi="Arial"/>
          <w:b/>
          <w:bCs/>
        </w:rPr>
        <w:t xml:space="preserve">2.1 Source et structure du dataset</w:t>
      </w:r>
    </w:p>
    <w:p>
      <w:pPr>
        <w:spacing w:after="140" w:line="288"/>
        <w:jc w:val="both"/>
      </w:pPr>
      <w:r>
        <w:rPr>
          <w:rFonts w:ascii="Arial" w:cs="Arial" w:eastAsia="Arial" w:hAnsi="Arial"/>
          <w:color w:val="2C3E50"/>
          <w:sz w:val="22"/>
          <w:szCs w:val="22"/>
        </w:rPr>
        <w:t xml:space="preserve">Le jeu de données contient 3 000 dossiers de demande de crédit bancaire. Chaque observation représente un client décrit par 10 variables couvrant ses caractéristiques sociodémographiques, financières et son historique bancaire. Le dataset est fourni au format CSV sans valeurs manquantes.</w:t>
      </w:r>
    </w:p>
    <w:p>
      <w:pPr>
        <w:pStyle w:val="Heading2"/>
        <w:spacing w:after="160" w:before="280"/>
      </w:pPr>
      <w:r>
        <w:rPr>
          <w:rFonts w:ascii="Arial" w:cs="Arial" w:eastAsia="Arial" w:hAnsi="Arial"/>
          <w:b/>
          <w:bCs/>
        </w:rPr>
        <w:t xml:space="preserve">2.2 Dictionnaire des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300"/>
        <w:gridCol w:w="3726"/>
      </w:tblGrid>
      <w:tr>
        <w:tc>
          <w:tcPr>
            <w:tcW w:type="dxa" w:w="2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Variable</w:t>
            </w:r>
          </w:p>
        </w:tc>
        <w:tc>
          <w:tcPr>
            <w:tcW w:type="dxa" w:w="1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23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Plage</w:t>
            </w:r>
          </w:p>
        </w:tc>
        <w:tc>
          <w:tcPr>
            <w:tcW w:type="dxa" w:w="37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client_id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 — 3 000</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Identifiant unique (non prédictif)</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age</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 — 70</w:t>
            </w:r>
          </w:p>
        </w:tc>
        <w:tc>
          <w:tcPr>
            <w:tcW w:type="dxa" w:w="3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Âge du client en années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revenu_mensuel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2 501 — 44 993</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Revenu mensuel brut en DH</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dettes_totales</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15 — 199 887</w:t>
            </w:r>
          </w:p>
        </w:tc>
        <w:tc>
          <w:tcPr>
            <w:tcW w:type="dxa" w:w="3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Montant total des dettes (DH)</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anciennete_emploi</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 — 35</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Ancienneté emploi (années)</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incidents_paiement</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 — 6</w:t>
            </w:r>
          </w:p>
        </w:tc>
        <w:tc>
          <w:tcPr>
            <w:tcW w:type="dxa" w:w="3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Nombre d'incidents passés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montant_credit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int</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10 282 — 499 979</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Montant du crédit demandé (DH)</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ratio_endettement</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float</w:t>
            </w:r>
          </w:p>
        </w:tc>
        <w:tc>
          <w:tcPr>
            <w:tcW w:type="dxa" w:w="23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0.00 — 6.22</w:t>
            </w:r>
          </w:p>
        </w:tc>
        <w:tc>
          <w:tcPr>
            <w:tcW w:type="dxa" w:w="3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 dettes/revenu</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credit_accorde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bin.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 / 1</w:t>
            </w:r>
          </w:p>
        </w:tc>
        <w:tc>
          <w:tcPr>
            <w:tcW w:type="dxa" w:w="3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EXCLU — data leakage (r = -1.0)</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defaut_paiement</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bin.</w:t>
            </w:r>
          </w:p>
        </w:tc>
        <w:tc>
          <w:tcPr>
            <w:tcW w:type="dxa" w:w="23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 / 1</w:t>
            </w:r>
          </w:p>
        </w:tc>
        <w:tc>
          <w:tcPr>
            <w:tcW w:type="dxa" w:w="3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Variable cible</w:t>
            </w:r>
          </w:p>
        </w:tc>
      </w:tr>
    </w:tbl>
    <w:p>
      <w:pPr>
        <w:spacing w:after="100"/>
      </w:pPr>
    </w:p>
    <w:p>
      <w:pPr>
        <w:pStyle w:val="Heading2"/>
        <w:spacing w:after="160" w:before="280"/>
      </w:pPr>
      <w:r>
        <w:rPr>
          <w:rFonts w:ascii="Arial" w:cs="Arial" w:eastAsia="Arial" w:hAnsi="Arial"/>
          <w:b/>
          <w:bCs/>
        </w:rPr>
        <w:t xml:space="preserve">2.3 Identification et traitement du data leakage</w:t>
      </w:r>
    </w:p>
    <w:p>
      <w:pPr>
        <w:spacing w:after="140" w:line="288"/>
        <w:jc w:val="both"/>
      </w:pPr>
      <w:r>
        <w:rPr>
          <w:rFonts w:ascii="Arial" w:cs="Arial" w:eastAsia="Arial" w:hAnsi="Arial"/>
          <w:color w:val="2C3E50"/>
          <w:sz w:val="22"/>
          <w:szCs w:val="22"/>
        </w:rPr>
        <w:t xml:space="preserve">L'analyse de corrélation a révélé un fait critique : la variable credit_accorde présente une corrélation parfaite de -1.0 avec la variable cible defaut_paiement. Inclure cette variable dans les features reviendrait à donner au modèle la réponse directement, produisant des performances artificiellement parfaites mais un modèle totalement inutile en production. Cette variable a donc été exclue, tout comme client_id.</w:t>
      </w:r>
    </w:p>
    <w:p>
      <w:pPr>
        <w:pStyle w:val="Heading2"/>
        <w:spacing w:after="160" w:before="280"/>
      </w:pPr>
      <w:r>
        <w:rPr>
          <w:rFonts w:ascii="Arial" w:cs="Arial" w:eastAsia="Arial" w:hAnsi="Arial"/>
          <w:b/>
          <w:bCs/>
        </w:rPr>
        <w:t xml:space="preserve">2.4 Déséquilibre des classes</w:t>
      </w:r>
    </w:p>
    <w:p>
      <w:pPr>
        <w:spacing w:after="140" w:line="288"/>
        <w:jc w:val="both"/>
      </w:pPr>
      <w:r>
        <w:rPr>
          <w:rFonts w:ascii="Arial" w:cs="Arial" w:eastAsia="Arial" w:hAnsi="Arial"/>
          <w:color w:val="2C3E50"/>
          <w:sz w:val="22"/>
          <w:szCs w:val="22"/>
        </w:rPr>
        <w:t xml:space="preserve">Le dataset présente un déséquilibre significatif : 222 clients (7.4%) ont fait défaut contre 2 778 (92.6%) non-défaillants. Ce déséquilibre sera traité par SMOTE à l'étape de modélisation.</w:t>
      </w:r>
    </w:p>
    <w:p>
      <w:pPr>
        <w:spacing w:after="40" w:before="120"/>
        <w:jc w:val="center"/>
      </w:pPr>
      <w:r>
        <w:drawing>
          <wp:inline distT="0" distB="0" distL="0" distR="0">
            <wp:extent cx="3810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65735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 — Distribution de la variable cible defaut_paiement</w:t>
      </w:r>
    </w:p>
    <w:p>
      <w:pPr>
        <w:spacing w:after="0"/>
      </w:pPr>
      <w:r>
        <w:br w:type="page"/>
      </w:r>
    </w:p>
    <w:p>
      <w:pPr>
        <w:pStyle w:val="Heading1"/>
        <w:spacing w:after="200" w:before="360"/>
      </w:pPr>
      <w:r>
        <w:rPr>
          <w:rFonts w:ascii="Arial" w:cs="Arial" w:eastAsia="Arial" w:hAnsi="Arial"/>
          <w:b/>
          <w:bCs/>
        </w:rPr>
        <w:t xml:space="preserve">3. Analyse exploratoire des données (EDA)</w:t>
      </w:r>
    </w:p>
    <w:p>
      <w:pPr>
        <w:pStyle w:val="Heading2"/>
        <w:spacing w:after="160" w:before="280"/>
      </w:pPr>
      <w:r>
        <w:rPr>
          <w:rFonts w:ascii="Arial" w:cs="Arial" w:eastAsia="Arial" w:hAnsi="Arial"/>
          <w:b/>
          <w:bCs/>
        </w:rPr>
        <w:t xml:space="preserve">3.1 Statistiques descriptives</w:t>
      </w:r>
    </w:p>
    <w:p>
      <w:pPr>
        <w:spacing w:after="140" w:line="288"/>
        <w:jc w:val="both"/>
      </w:pPr>
      <w:r>
        <w:rPr>
          <w:rFonts w:ascii="Arial" w:cs="Arial" w:eastAsia="Arial" w:hAnsi="Arial"/>
          <w:color w:val="2C3E50"/>
          <w:sz w:val="22"/>
          <w:szCs w:val="22"/>
        </w:rPr>
        <w:t xml:space="preserve">Le tableau ci-dessous présente les statistiques descriptives complètes. Le coefficient de variation (CV = écart-type / moyenne) mesure la dispersion relative.</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900"/>
        <w:gridCol w:w="1100"/>
        <w:gridCol w:w="1100"/>
        <w:gridCol w:w="926"/>
      </w:tblGrid>
      <w:tr>
        <w:tc>
          <w:tcPr>
            <w:tcW w:type="dxa" w:w="2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Variable</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Moyenne</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Écart-type</w:t>
            </w:r>
          </w:p>
        </w:tc>
        <w:tc>
          <w:tcPr>
            <w:tcW w:type="dxa" w:w="9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Min</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Médiane</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Max</w:t>
            </w:r>
          </w:p>
        </w:tc>
        <w:tc>
          <w:tcPr>
            <w:tcW w:type="dxa" w:w="9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CV</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age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45.76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14.41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70</w:t>
            </w:r>
          </w:p>
        </w:tc>
        <w:tc>
          <w:tcPr>
            <w:tcW w:type="dxa" w:w="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0.315</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revenu_mensuel</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23 678</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12 141</w:t>
            </w:r>
          </w:p>
        </w:tc>
        <w:tc>
          <w:tcPr>
            <w:tcW w:type="dxa" w:w="9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2 501</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23 770</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44 993</w:t>
            </w:r>
          </w:p>
        </w:tc>
        <w:tc>
          <w:tcPr>
            <w:tcW w:type="dxa" w:w="9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0.513</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dettes_totales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99 376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57 269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99 320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199 887</w:t>
            </w:r>
          </w:p>
        </w:tc>
        <w:tc>
          <w:tcPr>
            <w:tcW w:type="dxa" w:w="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0.576</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anciennete_emploi</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17.47</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10.36</w:t>
            </w:r>
          </w:p>
        </w:tc>
        <w:tc>
          <w:tcPr>
            <w:tcW w:type="dxa" w:w="9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18</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35</w:t>
            </w:r>
          </w:p>
        </w:tc>
        <w:tc>
          <w:tcPr>
            <w:tcW w:type="dxa" w:w="9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0.593</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incidents_paiement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w:t>
            </w:r>
          </w:p>
        </w:tc>
        <w:tc>
          <w:tcPr>
            <w:tcW w:type="dxa" w:w="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0.667</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montant_credit</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255 783</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141 279</w:t>
            </w:r>
          </w:p>
        </w:tc>
        <w:tc>
          <w:tcPr>
            <w:tcW w:type="dxa" w:w="9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10 282</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258 176</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499 979</w:t>
            </w:r>
          </w:p>
        </w:tc>
        <w:tc>
          <w:tcPr>
            <w:tcW w:type="dxa" w:w="9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0.552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ratio_endettement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0.565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0.699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0.35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6.22</w:t>
            </w:r>
          </w:p>
        </w:tc>
        <w:tc>
          <w:tcPr>
            <w:tcW w:type="dxa" w:w="9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1.236</w:t>
            </w:r>
          </w:p>
        </w:tc>
      </w:tr>
    </w:tbl>
    <w:p>
      <w:pPr>
        <w:spacing w:after="100"/>
      </w:pPr>
    </w:p>
    <w:p>
      <w:pPr>
        <w:spacing w:after="100" w:line="276"/>
      </w:pPr>
      <w:r>
        <w:rPr>
          <w:rFonts w:ascii="Arial" w:cs="Arial" w:eastAsia="Arial" w:hAnsi="Arial"/>
          <w:b/>
          <w:bCs/>
          <w:color w:val="1E3A5F"/>
          <w:sz w:val="22"/>
          <w:szCs w:val="22"/>
        </w:rPr>
        <w:t xml:space="preserve">Interprétation métier :</w:t>
      </w:r>
    </w:p>
    <w:p>
      <w:pPr>
        <w:pStyle w:val="ListParagraph"/>
        <w:numPr>
          <w:ilvl w:val="0"/>
          <w:numId w:val="2"/>
        </w:numPr>
        <w:spacing w:after="80" w:line="264"/>
      </w:pPr>
      <w:r>
        <w:rPr>
          <w:rFonts w:ascii="Arial" w:cs="Arial" w:eastAsia="Arial" w:hAnsi="Arial"/>
          <w:color w:val="2C3E50"/>
          <w:sz w:val="22"/>
          <w:szCs w:val="22"/>
        </w:rPr>
        <w:t xml:space="preserve">Âge : clientèle diversifiée (21-70 ans), âge médian 46 ans, CV modéré de 0.315.</w:t>
      </w:r>
    </w:p>
    <w:p>
      <w:pPr>
        <w:pStyle w:val="ListParagraph"/>
        <w:numPr>
          <w:ilvl w:val="0"/>
          <w:numId w:val="2"/>
        </w:numPr>
        <w:spacing w:after="80" w:line="264"/>
      </w:pPr>
      <w:r>
        <w:rPr>
          <w:rFonts w:ascii="Arial" w:cs="Arial" w:eastAsia="Arial" w:hAnsi="Arial"/>
          <w:color w:val="2C3E50"/>
          <w:sz w:val="22"/>
          <w:szCs w:val="22"/>
        </w:rPr>
        <w:t xml:space="preserve">Revenu mensuel : moyenne 23 678 DH, forte dispersion (CV=0.513). L'écart Q1-Q3 de 20 891 DH révèle une clientèle très hétérogène.</w:t>
      </w:r>
    </w:p>
    <w:p>
      <w:pPr>
        <w:pStyle w:val="ListParagraph"/>
        <w:numPr>
          <w:ilvl w:val="0"/>
          <w:numId w:val="2"/>
        </w:numPr>
        <w:spacing w:after="80" w:line="264"/>
      </w:pPr>
      <w:r>
        <w:rPr>
          <w:rFonts w:ascii="Arial" w:cs="Arial" w:eastAsia="Arial" w:hAnsi="Arial"/>
          <w:color w:val="2C3E50"/>
          <w:sz w:val="22"/>
          <w:szCs w:val="22"/>
        </w:rPr>
        <w:t xml:space="preserve">Ratio d'endettement : CV exceptionnel de 1.236, signalant une forte asymétrie et des valeurs extrêmes (max=6.22). C'est la variable la plus hétérogène du dataset et la plus prédictive.</w:t>
      </w:r>
    </w:p>
    <w:p>
      <w:pPr>
        <w:pStyle w:val="ListParagraph"/>
        <w:numPr>
          <w:ilvl w:val="0"/>
          <w:numId w:val="2"/>
        </w:numPr>
        <w:spacing w:after="80" w:line="264"/>
      </w:pPr>
      <w:r>
        <w:rPr>
          <w:rFonts w:ascii="Arial" w:cs="Arial" w:eastAsia="Arial" w:hAnsi="Arial"/>
          <w:color w:val="2C3E50"/>
          <w:sz w:val="22"/>
          <w:szCs w:val="22"/>
        </w:rPr>
        <w:t xml:space="preserve">Incidents de paiement : moyenne de 3 incidents sur 6, historique globalement dégradé dans cette population.</w:t>
      </w:r>
    </w:p>
    <w:p>
      <w:pPr>
        <w:pStyle w:val="Heading2"/>
        <w:spacing w:after="160" w:before="280"/>
      </w:pPr>
      <w:r>
        <w:rPr>
          <w:rFonts w:ascii="Arial" w:cs="Arial" w:eastAsia="Arial" w:hAnsi="Arial"/>
          <w:b/>
          <w:bCs/>
        </w:rPr>
        <w:t xml:space="preserve">3.2 Distribution des variables explicatives</w:t>
      </w:r>
    </w:p>
    <w:p>
      <w:pPr>
        <w:spacing w:after="40" w:before="120"/>
        <w:jc w:val="center"/>
      </w:pPr>
      <w:r>
        <w:drawing>
          <wp:inline distT="0" distB="0" distL="0" distR="0">
            <wp:extent cx="4000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574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2 — Histogrammes avec moyenne (rouge) et médiane (vert)</w:t>
      </w:r>
    </w:p>
    <w:p>
      <w:pPr>
        <w:spacing w:after="140" w:line="288"/>
        <w:jc w:val="both"/>
      </w:pPr>
      <w:r>
        <w:rPr>
          <w:rFonts w:ascii="Arial" w:cs="Arial" w:eastAsia="Arial" w:hAnsi="Arial"/>
          <w:color w:val="2C3E50"/>
          <w:sz w:val="22"/>
          <w:szCs w:val="22"/>
        </w:rPr>
        <w:t xml:space="preserve">L'âge, le revenu, les dettes et le montant du crédit suivent des distributions quasi-uniformes. Le ratio d'endettement présente une forte asymétrie positive avec une queue épaisse vers les valeurs élevées.</w:t>
      </w:r>
    </w:p>
    <w:p>
      <w:pPr>
        <w:pStyle w:val="Heading2"/>
        <w:spacing w:after="160" w:before="280"/>
      </w:pPr>
      <w:r>
        <w:rPr>
          <w:rFonts w:ascii="Arial" w:cs="Arial" w:eastAsia="Arial" w:hAnsi="Arial"/>
          <w:b/>
          <w:bCs/>
        </w:rPr>
        <w:t xml:space="preserve">3.3 Analyse bivariée par classe cible</w:t>
      </w:r>
    </w:p>
    <w:p>
      <w:pPr>
        <w:spacing w:after="40" w:before="120"/>
        <w:jc w:val="center"/>
      </w:pPr>
      <w:r>
        <w:drawing>
          <wp:inline distT="0" distB="0" distL="0" distR="0">
            <wp:extent cx="4000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574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3 — Boxplots par classe de défaut</w:t>
      </w:r>
    </w:p>
    <w:p>
      <w:pPr>
        <w:spacing w:after="100" w:line="276"/>
      </w:pPr>
      <w:r>
        <w:rPr>
          <w:rFonts w:ascii="Arial" w:cs="Arial" w:eastAsia="Arial" w:hAnsi="Arial"/>
          <w:b/>
          <w:bCs/>
          <w:color w:val="1E3A5F"/>
          <w:sz w:val="22"/>
          <w:szCs w:val="22"/>
        </w:rPr>
        <w:t xml:space="preserve">Observations clés :</w:t>
      </w:r>
    </w:p>
    <w:p>
      <w:pPr>
        <w:pStyle w:val="ListParagraph"/>
        <w:numPr>
          <w:ilvl w:val="0"/>
          <w:numId w:val="2"/>
        </w:numPr>
        <w:spacing w:after="80" w:line="264"/>
      </w:pPr>
      <w:r>
        <w:rPr>
          <w:rFonts w:ascii="Arial" w:cs="Arial" w:eastAsia="Arial" w:hAnsi="Arial"/>
          <w:color w:val="2C3E50"/>
          <w:sz w:val="22"/>
          <w:szCs w:val="22"/>
        </w:rPr>
        <w:t xml:space="preserve">Revenu mensuel : les défaillants ont un revenu médian nettement inférieur. Variable fortement discriminante.</w:t>
      </w:r>
    </w:p>
    <w:p>
      <w:pPr>
        <w:pStyle w:val="ListParagraph"/>
        <w:numPr>
          <w:ilvl w:val="0"/>
          <w:numId w:val="2"/>
        </w:numPr>
        <w:spacing w:after="80" w:line="264"/>
      </w:pPr>
      <w:r>
        <w:rPr>
          <w:rFonts w:ascii="Arial" w:cs="Arial" w:eastAsia="Arial" w:hAnsi="Arial"/>
          <w:color w:val="2C3E50"/>
          <w:sz w:val="22"/>
          <w:szCs w:val="22"/>
        </w:rPr>
        <w:t xml:space="preserve">Ratio d'endettement : les défaillants présentent des ratios significativement plus élevés. Séparateur le plus visible.</w:t>
      </w:r>
    </w:p>
    <w:p>
      <w:pPr>
        <w:pStyle w:val="ListParagraph"/>
        <w:numPr>
          <w:ilvl w:val="0"/>
          <w:numId w:val="2"/>
        </w:numPr>
        <w:spacing w:after="80" w:line="264"/>
      </w:pPr>
      <w:r>
        <w:rPr>
          <w:rFonts w:ascii="Arial" w:cs="Arial" w:eastAsia="Arial" w:hAnsi="Arial"/>
          <w:color w:val="2C3E50"/>
          <w:sz w:val="22"/>
          <w:szCs w:val="22"/>
        </w:rPr>
        <w:t xml:space="preserve">Âge et ancienneté : distributions similaires entre les classes, pouvoir discriminant faible.</w:t>
      </w:r>
    </w:p>
    <w:p>
      <w:pPr>
        <w:spacing w:after="0"/>
      </w:pPr>
      <w:r>
        <w:br w:type="page"/>
      </w:r>
    </w:p>
    <w:p>
      <w:pPr>
        <w:pStyle w:val="Heading2"/>
        <w:spacing w:after="160" w:before="280"/>
      </w:pPr>
      <w:r>
        <w:rPr>
          <w:rFonts w:ascii="Arial" w:cs="Arial" w:eastAsia="Arial" w:hAnsi="Arial"/>
          <w:b/>
          <w:bCs/>
        </w:rPr>
        <w:t xml:space="preserve">3.4 Matrice de corrélation</w:t>
      </w:r>
    </w:p>
    <w:p>
      <w:pPr>
        <w:spacing w:after="40" w:before="120"/>
        <w:jc w:val="center"/>
      </w:pPr>
      <w:r>
        <w:drawing>
          <wp:inline distT="0" distB="0" distL="0" distR="0">
            <wp:extent cx="3619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289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4 — Matrice de corrélation de Pearson</w:t>
      </w:r>
    </w:p>
    <w:p>
      <w:pPr>
        <w:pStyle w:val="Heading2"/>
        <w:spacing w:after="160" w:before="280"/>
      </w:pPr>
      <w:r>
        <w:rPr>
          <w:rFonts w:ascii="Arial" w:cs="Arial" w:eastAsia="Arial" w:hAnsi="Arial"/>
          <w:b/>
          <w:bCs/>
        </w:rPr>
        <w:t xml:space="preserve">3.5 Corrélation avec la variable cible</w:t>
      </w:r>
    </w:p>
    <w:p>
      <w:pPr>
        <w:spacing w:after="40" w:before="120"/>
        <w:jc w:val="center"/>
      </w:pPr>
      <w:r>
        <w:drawing>
          <wp:inline distT="0" distB="0" distL="0" distR="0">
            <wp:extent cx="3810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622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5 — Corrélation de chaque variable avec defaut_paiement</w:t>
      </w:r>
    </w:p>
    <w:p>
      <w:pPr>
        <w:spacing w:after="140" w:line="288"/>
        <w:jc w:val="both"/>
      </w:pPr>
      <w:r>
        <w:rPr>
          <w:rFonts w:ascii="Arial" w:cs="Arial" w:eastAsia="Arial" w:hAnsi="Arial"/>
          <w:color w:val="2C3E50"/>
          <w:sz w:val="22"/>
          <w:szCs w:val="22"/>
        </w:rPr>
        <w:t xml:space="preserve">Les deux prédicteurs principaux sont le ratio_endettement (r = +0.674) et le revenu_mensuel (r = -0.442). Les variables dettes_totales, montant_credit et incidents_paiement apportent une contribution positive mais faible. L'âge et l'ancienneté ont des corrélations quasi-nulles.</w:t>
      </w:r>
    </w:p>
    <w:p>
      <w:pPr>
        <w:spacing w:after="0"/>
      </w:pPr>
      <w:r>
        <w:br w:type="page"/>
      </w:r>
    </w:p>
    <w:p>
      <w:pPr>
        <w:pStyle w:val="Heading1"/>
        <w:spacing w:after="200" w:before="360"/>
      </w:pPr>
      <w:r>
        <w:rPr>
          <w:rFonts w:ascii="Arial" w:cs="Arial" w:eastAsia="Arial" w:hAnsi="Arial"/>
          <w:b/>
          <w:bCs/>
        </w:rPr>
        <w:t xml:space="preserve">4. Prétraitement des données</w:t>
      </w:r>
    </w:p>
    <w:p>
      <w:pPr>
        <w:pStyle w:val="Heading2"/>
        <w:spacing w:after="160" w:before="280"/>
      </w:pPr>
      <w:r>
        <w:rPr>
          <w:rFonts w:ascii="Arial" w:cs="Arial" w:eastAsia="Arial" w:hAnsi="Arial"/>
          <w:b/>
          <w:bCs/>
        </w:rPr>
        <w:t xml:space="preserve">4.1 Nettoyage</w:t>
      </w:r>
    </w:p>
    <w:p>
      <w:pPr>
        <w:spacing w:after="140" w:line="288"/>
        <w:jc w:val="both"/>
      </w:pPr>
      <w:r>
        <w:rPr>
          <w:rFonts w:ascii="Arial" w:cs="Arial" w:eastAsia="Arial" w:hAnsi="Arial"/>
          <w:color w:val="2C3E50"/>
          <w:sz w:val="22"/>
          <w:szCs w:val="22"/>
        </w:rPr>
        <w:t xml:space="preserve">Deux colonnes supprimées : client_id (identifiant) et credit_accorde (data leakage, r = -1.0). Après suppression : 3 000 lignes, 7 features + cible. Vérification : 0 valeurs manquantes, 0 doublons.</w:t>
      </w:r>
    </w:p>
    <w:p>
      <w:pPr>
        <w:pStyle w:val="Heading2"/>
        <w:spacing w:after="160" w:before="280"/>
      </w:pPr>
      <w:r>
        <w:rPr>
          <w:rFonts w:ascii="Arial" w:cs="Arial" w:eastAsia="Arial" w:hAnsi="Arial"/>
          <w:b/>
          <w:bCs/>
        </w:rPr>
        <w:t xml:space="preserve">4.2 Détection des outliers — Méthode IQR</w:t>
      </w:r>
    </w:p>
    <w:p>
      <w:pPr>
        <w:spacing w:after="140" w:line="288"/>
        <w:jc w:val="both"/>
      </w:pPr>
      <w:r>
        <w:rPr>
          <w:rFonts w:ascii="Arial" w:cs="Arial" w:eastAsia="Arial" w:hAnsi="Arial"/>
          <w:color w:val="2C3E50"/>
          <w:sz w:val="22"/>
          <w:szCs w:val="22"/>
        </w:rPr>
        <w:t xml:space="preserve">La méthode de l'écart interquartile (IQR) est utilisée pour détecter les valeurs aberrantes :</w:t>
      </w:r>
    </w:p>
    <w:p>
      <w:pPr>
        <w:spacing w:after="160" w:before="160"/>
        <w:jc w:val="center"/>
      </w:pPr>
      <w:r>
        <w:rPr>
          <w:rFonts w:ascii="Courier New" w:cs="Courier New" w:eastAsia="Courier New" w:hAnsi="Courier New"/>
          <w:i/>
          <w:iCs/>
          <w:color w:val="1E3A5F"/>
          <w:sz w:val="22"/>
          <w:szCs w:val="22"/>
        </w:rPr>
        <w:t xml:space="preserve">IQR = Q3 - Q1</w:t>
      </w:r>
    </w:p>
    <w:p>
      <w:pPr>
        <w:spacing w:after="160" w:before="160"/>
        <w:jc w:val="center"/>
      </w:pPr>
      <w:r>
        <w:rPr>
          <w:rFonts w:ascii="Courier New" w:cs="Courier New" w:eastAsia="Courier New" w:hAnsi="Courier New"/>
          <w:i/>
          <w:iCs/>
          <w:color w:val="1E3A5F"/>
          <w:sz w:val="22"/>
          <w:szCs w:val="22"/>
        </w:rPr>
        <w:t xml:space="preserve">Borne inférieure = Q1 - 1.5 × IQR</w:t>
      </w:r>
    </w:p>
    <w:p>
      <w:pPr>
        <w:spacing w:after="160" w:before="160"/>
        <w:jc w:val="center"/>
      </w:pPr>
      <w:r>
        <w:rPr>
          <w:rFonts w:ascii="Courier New" w:cs="Courier New" w:eastAsia="Courier New" w:hAnsi="Courier New"/>
          <w:i/>
          <w:iCs/>
          <w:color w:val="1E3A5F"/>
          <w:sz w:val="22"/>
          <w:szCs w:val="22"/>
        </w:rPr>
        <w:t xml:space="preserve">Borne supérieure = Q3 + 1.5 × IQR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800"/>
        <w:gridCol w:w="2626"/>
      </w:tblGrid>
      <w:tr>
        <w:tc>
          <w:tcPr>
            <w:tcW w:type="dxa" w:w="22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Variable</w:t>
            </w:r>
          </w:p>
        </w:tc>
        <w:tc>
          <w:tcPr>
            <w:tcW w:type="dxa" w:w="12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Outliers</w:t>
            </w:r>
          </w:p>
        </w:tc>
        <w:tc>
          <w:tcPr>
            <w:tcW w:type="dxa" w:w="12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Outliers</w:t>
            </w:r>
          </w:p>
        </w:tc>
        <w:tc>
          <w:tcPr>
            <w:tcW w:type="dxa" w:w="18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Borne inf.</w:t>
            </w:r>
          </w:p>
        </w:tc>
        <w:tc>
          <w:tcPr>
            <w:tcW w:type="dxa" w:w="26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Borne sup.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age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-4.5</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95.5</w:t>
            </w:r>
          </w:p>
        </w:tc>
      </w:tr>
      <w:tr>
        <w:tc>
          <w:tcPr>
            <w:tcW w:type="dxa" w:w="2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revenu_mensuel</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18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-18 040</w:t>
            </w:r>
          </w:p>
        </w:tc>
        <w:tc>
          <w:tcPr>
            <w:tcW w:type="dxa" w:w="2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65 521</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dettes_totales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-96 088</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293 842</w:t>
            </w:r>
          </w:p>
        </w:tc>
      </w:tr>
      <w:tr>
        <w:tc>
          <w:tcPr>
            <w:tcW w:type="dxa" w:w="2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anciennete_emploi</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18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-19.0</w:t>
            </w:r>
          </w:p>
        </w:tc>
        <w:tc>
          <w:tcPr>
            <w:tcW w:type="dxa" w:w="2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53.0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incidents_paiement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-5.0</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11.0</w:t>
            </w:r>
          </w:p>
        </w:tc>
      </w:tr>
      <w:tr>
        <w:tc>
          <w:tcPr>
            <w:tcW w:type="dxa" w:w="2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montant_credit</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18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-232 866</w:t>
            </w:r>
          </w:p>
        </w:tc>
        <w:tc>
          <w:tcPr>
            <w:tcW w:type="dxa" w:w="2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741 373</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ratio_endettement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250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8.33%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-0.54</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1.38</w:t>
            </w:r>
          </w:p>
        </w:tc>
      </w:tr>
    </w:tbl>
    <w:p>
      <w:pPr>
        <w:spacing w:after="100"/>
      </w:pPr>
    </w:p>
    <w:p>
      <w:pPr>
        <w:spacing w:after="140" w:line="288"/>
        <w:jc w:val="both"/>
      </w:pPr>
      <w:r>
        <w:rPr>
          <w:rFonts w:ascii="Arial" w:cs="Arial" w:eastAsia="Arial" w:hAnsi="Arial"/>
          <w:color w:val="2C3E50"/>
          <w:sz w:val="22"/>
          <w:szCs w:val="22"/>
        </w:rPr>
        <w:t xml:space="preserve">Seule la variable ratio_endettement présente 250 outliers (8.33%). Traitement par winsorization (capping aux bornes IQR).</w:t>
      </w:r>
    </w:p>
    <w:p>
      <w:pPr>
        <w:spacing w:after="40" w:before="120"/>
        <w:jc w:val="center"/>
      </w:pPr>
      <w:r>
        <w:drawing>
          <wp:inline distT="0" distB="0" distL="0" distR="0">
            <wp:extent cx="4000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49542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6 — Boxplots avant et après winsorization</w:t>
      </w:r>
    </w:p>
    <w:p>
      <w:pPr>
        <w:spacing w:after="0"/>
      </w:pPr>
      <w:r>
        <w:br w:type="page"/>
      </w:r>
    </w:p>
    <w:p>
      <w:pPr>
        <w:pStyle w:val="Heading1"/>
        <w:spacing w:after="200" w:before="360"/>
      </w:pPr>
      <w:r>
        <w:rPr>
          <w:rFonts w:ascii="Arial" w:cs="Arial" w:eastAsia="Arial" w:hAnsi="Arial"/>
          <w:b/>
          <w:bCs/>
        </w:rPr>
        <w:t xml:space="preserve">5. Feature Engineering</w:t>
      </w:r>
    </w:p>
    <w:p>
      <w:pPr>
        <w:pStyle w:val="Heading2"/>
        <w:spacing w:after="160" w:before="280"/>
      </w:pPr>
      <w:r>
        <w:rPr>
          <w:rFonts w:ascii="Arial" w:cs="Arial" w:eastAsia="Arial" w:hAnsi="Arial"/>
          <w:b/>
          <w:bCs/>
        </w:rPr>
        <w:t xml:space="preserve">5.1 Création de 6 ratios financiers</w:t>
      </w:r>
    </w:p>
    <w:p>
      <w:pPr>
        <w:spacing w:after="140" w:line="288"/>
        <w:jc w:val="both"/>
      </w:pPr>
      <w:r>
        <w:rPr>
          <w:rFonts w:ascii="Arial" w:cs="Arial" w:eastAsia="Arial" w:hAnsi="Arial"/>
          <w:color w:val="2C3E50"/>
          <w:sz w:val="22"/>
          <w:szCs w:val="22"/>
        </w:rPr>
        <w:t xml:space="preserve">Six nouvelles variables dérivées enrichissent le pouvoir prédictif :</w:t>
      </w:r>
    </w:p>
    <w:p>
      <w:pPr>
        <w:pStyle w:val="Heading3"/>
        <w:spacing w:after="120" w:before="200"/>
      </w:pPr>
      <w:r>
        <w:rPr>
          <w:rFonts w:ascii="Arial" w:cs="Arial" w:eastAsia="Arial" w:hAnsi="Arial"/>
          <w:b/>
          <w:bCs/>
        </w:rPr>
        <w:t xml:space="preserve">5.1.1 Ratio dette/revenu annuel</w:t>
      </w:r>
    </w:p>
    <w:p>
      <w:pPr>
        <w:spacing w:after="160" w:before="160"/>
        <w:jc w:val="center"/>
      </w:pPr>
      <w:r>
        <w:rPr>
          <w:rFonts w:ascii="Courier New" w:cs="Courier New" w:eastAsia="Courier New" w:hAnsi="Courier New"/>
          <w:i/>
          <w:iCs/>
          <w:color w:val="1E3A5F"/>
          <w:sz w:val="22"/>
          <w:szCs w:val="22"/>
        </w:rPr>
        <w:t xml:space="preserve">ratio_dette_revenu = dettes_totales / (revenu_mensuel × 12)</w:t>
      </w:r>
    </w:p>
    <w:p>
      <w:pPr>
        <w:spacing w:after="140" w:line="288"/>
        <w:jc w:val="both"/>
      </w:pPr>
      <w:r>
        <w:rPr>
          <w:rFonts w:ascii="Arial" w:cs="Arial" w:eastAsia="Arial" w:hAnsi="Arial"/>
          <w:color w:val="2C3E50"/>
          <w:sz w:val="22"/>
          <w:szCs w:val="22"/>
        </w:rPr>
        <w:t xml:space="preserve">Mesure le poids de l'endettement total rapporté au revenu annuel. Un ratio &gt; 1 signifie que les dettes dépassent le revenu annuel.</w:t>
      </w:r>
    </w:p>
    <w:p>
      <w:pPr>
        <w:pStyle w:val="Heading3"/>
        <w:spacing w:after="120" w:before="200"/>
      </w:pPr>
      <w:r>
        <w:rPr>
          <w:rFonts w:ascii="Arial" w:cs="Arial" w:eastAsia="Arial" w:hAnsi="Arial"/>
          <w:b/>
          <w:bCs/>
        </w:rPr>
        <w:t xml:space="preserve">5.1.2 Ratio crédit/revenu annuel</w:t>
      </w:r>
    </w:p>
    <w:p>
      <w:pPr>
        <w:spacing w:after="160" w:before="160"/>
        <w:jc w:val="center"/>
      </w:pPr>
      <w:r>
        <w:rPr>
          <w:rFonts w:ascii="Courier New" w:cs="Courier New" w:eastAsia="Courier New" w:hAnsi="Courier New"/>
          <w:i/>
          <w:iCs/>
          <w:color w:val="1E3A5F"/>
          <w:sz w:val="22"/>
          <w:szCs w:val="22"/>
        </w:rPr>
        <w:t xml:space="preserve">ratio_credit_revenu = montant_credit / (revenu_mensuel × 12)</w:t>
      </w:r>
    </w:p>
    <w:p>
      <w:pPr>
        <w:spacing w:after="140" w:line="288"/>
        <w:jc w:val="both"/>
      </w:pPr>
      <w:r>
        <w:rPr>
          <w:rFonts w:ascii="Arial" w:cs="Arial" w:eastAsia="Arial" w:hAnsi="Arial"/>
          <w:color w:val="2C3E50"/>
          <w:sz w:val="22"/>
          <w:szCs w:val="22"/>
        </w:rPr>
        <w:t xml:space="preserve">Évalue la charge du nouveau crédit par rapport à la capacité de revenu annuelle.</w:t>
      </w:r>
    </w:p>
    <w:p>
      <w:pPr>
        <w:pStyle w:val="Heading3"/>
        <w:spacing w:after="120" w:before="200"/>
      </w:pPr>
      <w:r>
        <w:rPr>
          <w:rFonts w:ascii="Arial" w:cs="Arial" w:eastAsia="Arial" w:hAnsi="Arial"/>
          <w:b/>
          <w:bCs/>
        </w:rPr>
        <w:t xml:space="preserve">5.1.3 Ratio crédit/ancienneté</w:t>
      </w:r>
    </w:p>
    <w:p>
      <w:pPr>
        <w:spacing w:after="160" w:before="160"/>
        <w:jc w:val="center"/>
      </w:pPr>
      <w:r>
        <w:rPr>
          <w:rFonts w:ascii="Courier New" w:cs="Courier New" w:eastAsia="Courier New" w:hAnsi="Courier New"/>
          <w:i/>
          <w:iCs/>
          <w:color w:val="1E3A5F"/>
          <w:sz w:val="22"/>
          <w:szCs w:val="22"/>
        </w:rPr>
        <w:t xml:space="preserve">ratio_credit_anciennete = montant_credit / (anciennete_emploi + 1)</w:t>
      </w:r>
    </w:p>
    <w:p>
      <w:pPr>
        <w:spacing w:after="140" w:line="288"/>
        <w:jc w:val="both"/>
      </w:pPr>
      <w:r>
        <w:rPr>
          <w:rFonts w:ascii="Arial" w:cs="Arial" w:eastAsia="Arial" w:hAnsi="Arial"/>
          <w:color w:val="2C3E50"/>
          <w:sz w:val="22"/>
          <w:szCs w:val="22"/>
        </w:rPr>
        <w:t xml:space="preserve">Met en relation le montant demandé avec la stabilité professionnelle.</w:t>
      </w:r>
    </w:p>
    <w:p>
      <w:pPr>
        <w:pStyle w:val="Heading3"/>
        <w:spacing w:after="120" w:before="200"/>
      </w:pPr>
      <w:r>
        <w:rPr>
          <w:rFonts w:ascii="Arial" w:cs="Arial" w:eastAsia="Arial" w:hAnsi="Arial"/>
          <w:b/>
          <w:bCs/>
        </w:rPr>
        <w:t xml:space="preserve">5.1.4 Score de stabilité</w:t>
      </w:r>
    </w:p>
    <w:p>
      <w:pPr>
        <w:spacing w:after="160" w:before="160"/>
        <w:jc w:val="center"/>
      </w:pPr>
      <w:r>
        <w:rPr>
          <w:rFonts w:ascii="Courier New" w:cs="Courier New" w:eastAsia="Courier New" w:hAnsi="Courier New"/>
          <w:i/>
          <w:iCs/>
          <w:color w:val="1E3A5F"/>
          <w:sz w:val="22"/>
          <w:szCs w:val="22"/>
        </w:rPr>
        <w:t xml:space="preserve">score_stabilite = (anciennete / max_anciennete) × (revenu / max_revenu)</w:t>
      </w:r>
    </w:p>
    <w:p>
      <w:pPr>
        <w:spacing w:after="140" w:line="288"/>
        <w:jc w:val="both"/>
      </w:pPr>
      <w:r>
        <w:rPr>
          <w:rFonts w:ascii="Arial" w:cs="Arial" w:eastAsia="Arial" w:hAnsi="Arial"/>
          <w:color w:val="2C3E50"/>
          <w:sz w:val="22"/>
          <w:szCs w:val="22"/>
        </w:rPr>
        <w:t xml:space="preserve">Score composite combinant stabilité professionnelle et niveau de revenu (valeurs entre 0 et 1).</w:t>
      </w:r>
    </w:p>
    <w:p>
      <w:pPr>
        <w:pStyle w:val="Heading3"/>
        <w:spacing w:after="120" w:before="200"/>
      </w:pPr>
      <w:r>
        <w:rPr>
          <w:rFonts w:ascii="Arial" w:cs="Arial" w:eastAsia="Arial" w:hAnsi="Arial"/>
          <w:b/>
          <w:bCs/>
        </w:rPr>
        <w:t xml:space="preserve">5.1.5 Charge financière totale</w:t>
      </w:r>
    </w:p>
    <w:p>
      <w:pPr>
        <w:spacing w:after="160" w:before="160"/>
        <w:jc w:val="center"/>
      </w:pPr>
      <w:r>
        <w:rPr>
          <w:rFonts w:ascii="Courier New" w:cs="Courier New" w:eastAsia="Courier New" w:hAnsi="Courier New"/>
          <w:i/>
          <w:iCs/>
          <w:color w:val="1E3A5F"/>
          <w:sz w:val="22"/>
          <w:szCs w:val="22"/>
        </w:rPr>
        <w:t xml:space="preserve">charge_financiere = dettes_totales + montant_credit</w:t>
      </w:r>
    </w:p>
    <w:p>
      <w:pPr>
        <w:pStyle w:val="Heading3"/>
        <w:spacing w:after="120" w:before="200"/>
      </w:pPr>
      <w:r>
        <w:rPr>
          <w:rFonts w:ascii="Arial" w:cs="Arial" w:eastAsia="Arial" w:hAnsi="Arial"/>
          <w:b/>
          <w:bCs/>
        </w:rPr>
        <w:t xml:space="preserve">5.1.6 Indicateur d'incidents élevés</w:t>
      </w:r>
    </w:p>
    <w:p>
      <w:pPr>
        <w:spacing w:after="160" w:before="160"/>
        <w:jc w:val="center"/>
      </w:pPr>
      <w:r>
        <w:rPr>
          <w:rFonts w:ascii="Courier New" w:cs="Courier New" w:eastAsia="Courier New" w:hAnsi="Courier New"/>
          <w:i/>
          <w:iCs/>
          <w:color w:val="1E3A5F"/>
          <w:sz w:val="22"/>
          <w:szCs w:val="22"/>
        </w:rPr>
        <w:t xml:space="preserve">incidents_eleves = 1 si incidents_paiement &gt;= 4, sinon 0</w:t>
      </w:r>
    </w:p>
    <w:p>
      <w:pPr>
        <w:spacing w:after="0"/>
      </w:pPr>
      <w:r>
        <w:br w:type="page"/>
      </w:r>
    </w:p>
    <w:p>
      <w:pPr>
        <w:pStyle w:val="Heading2"/>
        <w:spacing w:after="160" w:before="280"/>
      </w:pPr>
      <w:r>
        <w:rPr>
          <w:rFonts w:ascii="Arial" w:cs="Arial" w:eastAsia="Arial" w:hAnsi="Arial"/>
          <w:b/>
          <w:bCs/>
        </w:rPr>
        <w:t xml:space="preserve">5.2 Weight of Evidence (WoE) et Information Value (IV)</w:t>
      </w:r>
    </w:p>
    <w:p>
      <w:pPr>
        <w:spacing w:after="140" w:line="288"/>
        <w:jc w:val="both"/>
      </w:pPr>
      <w:r>
        <w:rPr>
          <w:rFonts w:ascii="Arial" w:cs="Arial" w:eastAsia="Arial" w:hAnsi="Arial"/>
          <w:color w:val="2C3E50"/>
          <w:sz w:val="22"/>
          <w:szCs w:val="22"/>
        </w:rPr>
        <w:t xml:space="preserve">Le WoE et l'IV sont des métriques standard en scoring bancaire pour évaluer le pouvoir prédictif de chaque variable.</w:t>
      </w:r>
    </w:p>
    <w:p>
      <w:pPr>
        <w:pStyle w:val="Heading3"/>
        <w:spacing w:after="120" w:before="200"/>
      </w:pPr>
      <w:r>
        <w:rPr>
          <w:rFonts w:ascii="Arial" w:cs="Arial" w:eastAsia="Arial" w:hAnsi="Arial"/>
          <w:b/>
          <w:bCs/>
        </w:rPr>
        <w:t xml:space="preserve">5.2.1 Définitions mathématiques</w:t>
      </w:r>
    </w:p>
    <w:p>
      <w:pPr>
        <w:spacing w:after="100" w:line="276"/>
      </w:pPr>
      <w:r>
        <w:rPr>
          <w:rFonts w:ascii="Arial" w:cs="Arial" w:eastAsia="Arial" w:hAnsi="Arial"/>
          <w:b/>
          <w:bCs/>
          <w:color w:val="1E3A5F"/>
          <w:sz w:val="22"/>
          <w:szCs w:val="22"/>
        </w:rPr>
        <w:t xml:space="preserve">Weight of Evidence (WoE) — pour chaque bin i :</w:t>
      </w:r>
    </w:p>
    <w:p>
      <w:pPr>
        <w:spacing w:after="160" w:before="160"/>
        <w:jc w:val="center"/>
      </w:pPr>
      <w:r>
        <w:rPr>
          <w:rFonts w:ascii="Courier New" w:cs="Courier New" w:eastAsia="Courier New" w:hAnsi="Courier New"/>
          <w:i/>
          <w:iCs/>
          <w:color w:val="1E3A5F"/>
          <w:sz w:val="22"/>
          <w:szCs w:val="22"/>
        </w:rPr>
        <w:t xml:space="preserve">WoE_i = ln( P(bin_i | non-défaut) / P(bin_i | défaut) )</w:t>
      </w:r>
    </w:p>
    <w:p>
      <w:pPr>
        <w:spacing w:after="140" w:line="288"/>
        <w:jc w:val="both"/>
      </w:pPr>
      <w:r>
        <w:rPr>
          <w:rFonts w:ascii="Arial" w:cs="Arial" w:eastAsia="Arial" w:hAnsi="Arial"/>
          <w:color w:val="2C3E50"/>
          <w:sz w:val="22"/>
          <w:szCs w:val="22"/>
        </w:rPr>
        <w:t xml:space="preserve">WoE positif → le bin contient plus de non-défauts (bon payeur). WoE négatif → sur-risque de défaut.</w:t>
      </w:r>
    </w:p>
    <w:p>
      <w:pPr>
        <w:spacing w:after="100"/>
      </w:pPr>
    </w:p>
    <w:p>
      <w:pPr>
        <w:spacing w:after="100" w:line="276"/>
      </w:pPr>
      <w:r>
        <w:rPr>
          <w:rFonts w:ascii="Arial" w:cs="Arial" w:eastAsia="Arial" w:hAnsi="Arial"/>
          <w:b/>
          <w:bCs/>
          <w:color w:val="1E3A5F"/>
          <w:sz w:val="22"/>
          <w:szCs w:val="22"/>
        </w:rPr>
        <w:t xml:space="preserve">Information Value (IV) — agrégation sur tous les bins :</w:t>
      </w:r>
    </w:p>
    <w:p>
      <w:pPr>
        <w:spacing w:after="160" w:before="160"/>
        <w:jc w:val="center"/>
      </w:pPr>
      <w:r>
        <w:rPr>
          <w:rFonts w:ascii="Courier New" w:cs="Courier New" w:eastAsia="Courier New" w:hAnsi="Courier New"/>
          <w:i/>
          <w:iCs/>
          <w:color w:val="1E3A5F"/>
          <w:sz w:val="22"/>
          <w:szCs w:val="22"/>
        </w:rPr>
        <w:t xml:space="preserve">IV = Σ_i [ P(bin_i | non-défaut) - P(bin_i | défaut) ] × WoE_i</w:t>
      </w:r>
    </w:p>
    <w:p>
      <w:pPr>
        <w:spacing w:after="100"/>
      </w:pPr>
    </w:p>
    <w:p>
      <w:pPr>
        <w:spacing w:after="100" w:line="276"/>
      </w:pPr>
      <w:r>
        <w:rPr>
          <w:rFonts w:ascii="Arial" w:cs="Arial" w:eastAsia="Arial" w:hAnsi="Arial"/>
          <w:b/>
          <w:bCs/>
          <w:color w:val="1E3A5F"/>
          <w:sz w:val="22"/>
          <w:szCs w:val="22"/>
        </w:rPr>
        <w:t xml:space="preserve">Grille d'interprétation de l'IV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IV</w:t>
            </w:r>
          </w:p>
        </w:tc>
        <w:tc>
          <w:tcPr>
            <w:tcW w:type="dxa" w:w="45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Pouvoir prédictif</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&lt; 0.02</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Inutile</w:t>
            </w:r>
          </w:p>
        </w:tc>
      </w:tr>
      <w:tr>
        <w:tc>
          <w:tcPr>
            <w:tcW w:type="dxa" w:w="4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0.02 — 0.10</w:t>
            </w:r>
          </w:p>
        </w:tc>
        <w:tc>
          <w:tcPr>
            <w:tcW w:type="dxa" w:w="45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Faible</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0.10 — 0.30</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Moyen</w:t>
            </w:r>
          </w:p>
        </w:tc>
      </w:tr>
      <w:tr>
        <w:tc>
          <w:tcPr>
            <w:tcW w:type="dxa" w:w="4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0.30 — 0.50</w:t>
            </w:r>
          </w:p>
        </w:tc>
        <w:tc>
          <w:tcPr>
            <w:tcW w:type="dxa" w:w="45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Fort</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&gt; 0.50</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Très fort — suspect, à vérifier</w:t>
            </w:r>
          </w:p>
        </w:tc>
      </w:tr>
    </w:tbl>
    <w:p>
      <w:pPr>
        <w:pStyle w:val="Heading3"/>
        <w:spacing w:after="120" w:before="200"/>
      </w:pPr>
      <w:r>
        <w:rPr>
          <w:rFonts w:ascii="Arial" w:cs="Arial" w:eastAsia="Arial" w:hAnsi="Arial"/>
          <w:b/>
          <w:bCs/>
        </w:rPr>
        <w:t xml:space="preserve">5.2.2 Résultats IV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Variable binnée</w:t>
            </w:r>
          </w:p>
        </w:tc>
        <w:tc>
          <w:tcPr>
            <w:tcW w:type="dxa" w:w="2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IV</w:t>
            </w:r>
          </w:p>
        </w:tc>
        <w:tc>
          <w:tcPr>
            <w:tcW w:type="dxa" w:w="30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Pouvoir prédictif</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Revenu</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10.6944</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Très fort (suspect)</w:t>
            </w:r>
          </w:p>
        </w:tc>
      </w:tr>
      <w:tr>
        <w:tc>
          <w:tcPr>
            <w:tcW w:type="dxa" w:w="3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Endettement</w:t>
            </w:r>
          </w:p>
        </w:tc>
        <w:tc>
          <w:tcPr>
            <w:tcW w:type="dxa" w:w="2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2.7495</w:t>
            </w:r>
          </w:p>
        </w:tc>
        <w:tc>
          <w:tcPr>
            <w:tcW w:type="dxa" w:w="30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Très fort (suspect)</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Âge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0.0139</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Inutile</w:t>
            </w:r>
          </w:p>
        </w:tc>
      </w:tr>
      <w:tr>
        <w:tc>
          <w:tcPr>
            <w:tcW w:type="dxa" w:w="3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Ancienneté</w:t>
            </w:r>
          </w:p>
        </w:tc>
        <w:tc>
          <w:tcPr>
            <w:tcW w:type="dxa" w:w="2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0.0110</w:t>
            </w:r>
          </w:p>
        </w:tc>
        <w:tc>
          <w:tcPr>
            <w:tcW w:type="dxa" w:w="30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Inutile</w:t>
            </w:r>
          </w:p>
        </w:tc>
      </w:tr>
    </w:tbl>
    <w:p>
      <w:pPr>
        <w:spacing w:after="100"/>
      </w:pPr>
    </w:p>
    <w:p>
      <w:pPr>
        <w:spacing w:after="40" w:before="120"/>
        <w:jc w:val="center"/>
      </w:pPr>
      <w:r>
        <w:drawing>
          <wp:inline distT="0" distB="0" distL="0" distR="0">
            <wp:extent cx="3810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3526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7 — Information Value (IV) par variable binnée</w:t>
      </w:r>
    </w:p>
    <w:p>
      <w:pPr>
        <w:spacing w:after="140" w:line="288"/>
        <w:jc w:val="both"/>
      </w:pPr>
      <w:r>
        <w:rPr>
          <w:rFonts w:ascii="Arial" w:cs="Arial" w:eastAsia="Arial" w:hAnsi="Arial"/>
          <w:color w:val="2C3E50"/>
          <w:sz w:val="22"/>
          <w:szCs w:val="22"/>
        </w:rPr>
        <w:t>Le revenu (IV=10.69) et le ratio d'endettement (IV=2.75) dépassent très largement le seuil de 0.5 au-delà duquel une IV est considérée comme suspecte en scoring bancaire (pouvoir prédictif « trop beau pour être vrai »). Vérification : le revenu mensuel seul, utilisé directement comme score sans aucun modèle, atteint déjà une AUC de 0.984. La variable cible est donc presque entièrement déterminée par le revenu, ce qui indique un jeu de données pédagogique généré de façon synthétique. L'âge et l'ancienneté sont inutiles isolément (IV &lt; 0.02).</w:t>
      </w:r>
    </w:p>
    <w:p>
      <w:pPr>
        <w:spacing w:after="0"/>
      </w:pPr>
      <w:r>
        <w:br w:type="page"/>
      </w:r>
    </w:p>
    <w:p>
      <w:pPr>
        <w:pStyle w:val="Heading1"/>
        <w:spacing w:after="200" w:before="360"/>
      </w:pPr>
      <w:r>
        <w:rPr>
          <w:rFonts w:ascii="Arial" w:cs="Arial" w:eastAsia="Arial" w:hAnsi="Arial"/>
          <w:b/>
          <w:bCs/>
        </w:rPr>
        <w:t xml:space="preserve">6. Modélisation</w:t>
      </w:r>
    </w:p>
    <w:p>
      <w:pPr>
        <w:pStyle w:val="Heading2"/>
        <w:spacing w:after="160" w:before="280"/>
      </w:pPr>
      <w:r>
        <w:rPr>
          <w:rFonts w:ascii="Arial" w:cs="Arial" w:eastAsia="Arial" w:hAnsi="Arial"/>
          <w:b/>
          <w:bCs/>
        </w:rPr>
        <w:t xml:space="preserve">6.1 Protocole expérimental</w:t>
      </w:r>
    </w:p>
    <w:p>
      <w:pPr>
        <w:spacing w:after="140" w:line="288"/>
        <w:jc w:val="both"/>
      </w:pPr>
      <w:r>
        <w:rPr>
          <w:rFonts w:ascii="Arial" w:cs="Arial" w:eastAsia="Arial" w:hAnsi="Arial"/>
          <w:color w:val="2C3E50"/>
          <w:sz w:val="22"/>
          <w:szCs w:val="22"/>
        </w:rPr>
        <w:t xml:space="preserve">Le protocole suit 5 phases rigoureuses :</w:t>
      </w:r>
    </w:p>
    <w:p>
      <w:pPr>
        <w:pStyle w:val="Heading3"/>
        <w:spacing w:after="120" w:before="200"/>
      </w:pPr>
      <w:r>
        <w:rPr>
          <w:rFonts w:ascii="Arial" w:cs="Arial" w:eastAsia="Arial" w:hAnsi="Arial"/>
          <w:b/>
          <w:bCs/>
        </w:rPr>
        <w:t xml:space="preserve">6.1.1 Split stratifié 80/20</w:t>
      </w:r>
    </w:p>
    <w:p>
      <w:pPr>
        <w:spacing w:after="140" w:line="288"/>
        <w:jc w:val="both"/>
      </w:pPr>
      <w:r>
        <w:rPr>
          <w:rFonts w:ascii="Arial" w:cs="Arial" w:eastAsia="Arial" w:hAnsi="Arial"/>
          <w:color w:val="2C3E50"/>
          <w:sz w:val="22"/>
          <w:szCs w:val="22"/>
        </w:rPr>
        <w:t xml:space="preserve">2 400 observations pour l'entraînement, 600 pour le test. La stratification garantit que la proportion de défauts (7.4%) est préservée dans les deux sous-ensembles.</w:t>
      </w:r>
    </w:p>
    <w:p>
      <w:pPr>
        <w:pStyle w:val="Heading3"/>
        <w:spacing w:after="120" w:before="200"/>
      </w:pPr>
      <w:r>
        <w:rPr>
          <w:rFonts w:ascii="Arial" w:cs="Arial" w:eastAsia="Arial" w:hAnsi="Arial"/>
          <w:b/>
          <w:bCs/>
        </w:rPr>
        <w:t xml:space="preserve">6.1.2 Normalisation (StandardScaler)</w:t>
      </w:r>
    </w:p>
    <w:p>
      <w:pPr>
        <w:spacing w:after="160" w:before="160"/>
        <w:jc w:val="center"/>
      </w:pPr>
      <w:r>
        <w:rPr>
          <w:rFonts w:ascii="Courier New" w:cs="Courier New" w:eastAsia="Courier New" w:hAnsi="Courier New"/>
          <w:i/>
          <w:iCs/>
          <w:color w:val="1E3A5F"/>
          <w:sz w:val="22"/>
          <w:szCs w:val="22"/>
        </w:rPr>
        <w:t xml:space="preserve">X_normalisé = (X - μ_train) / σ_train</w:t>
      </w:r>
    </w:p>
    <w:p>
      <w:pPr>
        <w:spacing w:after="140" w:line="288"/>
        <w:jc w:val="both"/>
      </w:pPr>
      <w:r>
        <w:rPr>
          <w:rFonts w:ascii="Arial" w:cs="Arial" w:eastAsia="Arial" w:hAnsi="Arial"/>
          <w:color w:val="2C3E50"/>
          <w:sz w:val="22"/>
          <w:szCs w:val="22"/>
        </w:rPr>
        <w:t xml:space="preserve">Le scaler est ajusté uniquement sur le train et appliqué au test pour éviter le data leakage.</w:t>
      </w:r>
    </w:p>
    <w:p>
      <w:pPr>
        <w:pStyle w:val="Heading3"/>
        <w:spacing w:after="120" w:before="200"/>
      </w:pPr>
      <w:r>
        <w:rPr>
          <w:rFonts w:ascii="Arial" w:cs="Arial" w:eastAsia="Arial" w:hAnsi="Arial"/>
          <w:b/>
          <w:bCs/>
        </w:rPr>
        <w:t xml:space="preserve">6.1.3 SMOTE (Synthetic Minority Over-sampling)</w:t>
      </w:r>
    </w:p>
    <w:p>
      <w:pPr>
        <w:spacing w:after="140" w:line="288"/>
        <w:jc w:val="both"/>
      </w:pPr>
      <w:r>
        <w:rPr>
          <w:rFonts w:ascii="Arial" w:cs="Arial" w:eastAsia="Arial" w:hAnsi="Arial"/>
          <w:color w:val="2C3E50"/>
          <w:sz w:val="22"/>
          <w:szCs w:val="22"/>
        </w:rPr>
        <w:t xml:space="preserve">SMOTE génère des observations synthétiques de la classe minoritaire par interpolation entre k plus proches voisins (k=5) :</w:t>
      </w:r>
    </w:p>
    <w:p>
      <w:pPr>
        <w:spacing w:after="160" w:before="160"/>
        <w:jc w:val="center"/>
      </w:pPr>
      <w:r>
        <w:rPr>
          <w:rFonts w:ascii="Courier New" w:cs="Courier New" w:eastAsia="Courier New" w:hAnsi="Courier New"/>
          <w:i/>
          <w:iCs/>
          <w:color w:val="1E3A5F"/>
          <w:sz w:val="22"/>
          <w:szCs w:val="22"/>
        </w:rPr>
        <w:t xml:space="preserve">x_synthétique = x_i + λ × (x_nn - x_i)     où λ ∈ [0, 1]</w:t>
      </w:r>
    </w:p>
    <w:p>
      <w:pPr>
        <w:spacing w:after="140" w:line="288"/>
        <w:jc w:val="both"/>
      </w:pPr>
      <w:r>
        <w:rPr>
          <w:rFonts w:ascii="Arial" w:cs="Arial" w:eastAsia="Arial" w:hAnsi="Arial"/>
          <w:color w:val="2C3E50"/>
          <w:sz w:val="22"/>
          <w:szCs w:val="22"/>
        </w:rPr>
        <w:t xml:space="preserve">L'ensemble d'entraînement passe de 2 400 à 3 333 observations (ratio minorité/majorité = 0.5). SMOTE est appliqué uniquement sur le train — le test reste intact.</w:t>
      </w:r>
    </w:p>
    <w:p>
      <w:pPr>
        <w:pStyle w:val="Heading3"/>
        <w:spacing w:after="120" w:before="200"/>
      </w:pPr>
      <w:r>
        <w:rPr>
          <w:rFonts w:ascii="Arial" w:cs="Arial" w:eastAsia="Arial" w:hAnsi="Arial"/>
          <w:b/>
          <w:bCs/>
        </w:rPr>
        <w:t xml:space="preserve">6.1.4 Validation croisée stratifiée (StratifiedKFold)</w:t>
      </w:r>
    </w:p>
    <w:p>
      <w:pPr>
        <w:spacing w:after="140" w:line="288"/>
        <w:jc w:val="both"/>
      </w:pPr>
      <w:r>
        <w:rPr>
          <w:rFonts w:ascii="Arial" w:cs="Arial" w:eastAsia="Arial" w:hAnsi="Arial"/>
          <w:color w:val="2C3E50"/>
          <w:sz w:val="22"/>
          <w:szCs w:val="22"/>
        </w:rPr>
        <w:t xml:space="preserve">5 folds stratifiés, métrique AUC-ROC. Chaque fold préserve la proportion des classes.</w:t>
      </w:r>
    </w:p>
    <w:p>
      <w:pPr>
        <w:pStyle w:val="Heading3"/>
        <w:spacing w:after="120" w:before="200"/>
      </w:pPr>
      <w:r>
        <w:rPr>
          <w:rFonts w:ascii="Arial" w:cs="Arial" w:eastAsia="Arial" w:hAnsi="Arial"/>
          <w:b/>
          <w:bCs/>
        </w:rPr>
        <w:t xml:space="preserve">6.1.5 GridSearchCV</w:t>
      </w:r>
    </w:p>
    <w:p>
      <w:pPr>
        <w:spacing w:after="140" w:line="288"/>
        <w:jc w:val="both"/>
      </w:pPr>
      <w:r>
        <w:rPr>
          <w:rFonts w:ascii="Arial" w:cs="Arial" w:eastAsia="Arial" w:hAnsi="Arial"/>
          <w:color w:val="2C3E50"/>
          <w:sz w:val="22"/>
          <w:szCs w:val="22"/>
        </w:rPr>
        <w:t xml:space="preserve">Recherche exhaustive sur grille d'hyperparamètres pour chaque algorithme.</w:t>
      </w:r>
    </w:p>
    <w:p>
      <w:pPr>
        <w:pStyle w:val="Heading2"/>
        <w:spacing w:after="160" w:before="280"/>
      </w:pPr>
      <w:r>
        <w:rPr>
          <w:rFonts w:ascii="Arial" w:cs="Arial" w:eastAsia="Arial" w:hAnsi="Arial"/>
          <w:b/>
          <w:bCs/>
        </w:rPr>
        <w:t xml:space="preserve">6.2 Résultats comparatifs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000"/>
        <w:gridCol w:w="1100"/>
        <w:gridCol w:w="1100"/>
        <w:gridCol w:w="1626"/>
      </w:tblGrid>
      <w:tr>
        <w:tc>
          <w:tcPr>
            <w:tcW w:type="dxa" w:w="2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Modèle</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Accuracy</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Precision</w:t>
            </w:r>
          </w:p>
        </w:tc>
        <w:tc>
          <w:tcPr>
            <w:tcW w:type="dxa" w:w="1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Recall</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F1-Score</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AUC-ROC</w:t>
            </w:r>
          </w:p>
        </w:tc>
        <w:tc>
          <w:tcPr>
            <w:tcW w:type="dxa" w:w="16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CV AUC (μ±σ)</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Random Forest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0.898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0.9462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0.9971</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0.9987 ± 0.0007</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SVM</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0.9733</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0.733</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1.000</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0.8462</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0.9955</w:t>
            </w:r>
          </w:p>
        </w:tc>
        <w:tc>
          <w:tcPr>
            <w:tcW w:type="dxa" w:w="1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0.9971 ± 0.0019</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Rég. Logistique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0.9717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0.737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0.955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0.8317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0.9955</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0.9951 ± 0.0016</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Arbre de Décision</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0.9767</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0.778</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0.955</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0.8571</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0.9849</w:t>
            </w:r>
          </w:p>
        </w:tc>
        <w:tc>
          <w:tcPr>
            <w:tcW w:type="dxa" w:w="1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0.9949 ± 0.0032</w:t>
            </w:r>
          </w:p>
        </w:tc>
      </w:tr>
    </w:tbl>
    <w:p>
      <w:pPr>
        <w:spacing w:after="100"/>
      </w:pPr>
    </w:p>
    <w:p>
      <w:pPr>
        <w:spacing w:after="40" w:before="120"/>
        <w:jc w:val="center"/>
      </w:pPr>
      <w:r>
        <w:drawing>
          <wp:inline distT="0" distB="0" distL="0" distR="0">
            <wp:extent cx="4000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9812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8 — Comparaison visuelle des métriques par modèle</w:t>
      </w:r>
    </w:p>
    <w:p>
      <w:pPr>
        <w:spacing w:after="140" w:line="288"/>
        <w:jc w:val="both"/>
      </w:pPr>
      <w:r>
        <w:rPr>
          <w:rFonts w:ascii="Arial" w:cs="Arial" w:eastAsia="Arial" w:hAnsi="Arial"/>
          <w:color w:val="2C3E50"/>
          <w:sz w:val="22"/>
          <w:szCs w:val="22"/>
        </w:rPr>
        <w:t xml:space="preserve">Le Random Forest domine avec un AUC de 0.9971, un Recall parfait de 1.0 (aucun défaut manqué) et un F1-Score de 0.9462. Il est sélectionné comme modèle final.</w:t>
      </w:r>
    </w:p>
    <w:p>
      <w:pPr>
        <w:spacing w:after="140" w:line="288"/>
        <w:jc w:val="both"/>
      </w:pPr>
      <w:r>
        <w:rPr>
          <w:rFonts w:ascii="Arial" w:cs="Arial" w:eastAsia="Arial" w:hAnsi="Arial"/>
          <w:color w:val="2C3E50"/>
          <w:sz w:val="22"/>
          <w:szCs w:val="22"/>
        </w:rPr>
        <w:t>Mise en perspective : ces scores très élevés doivent être interprétés avec prudence. Le revenu seul atteint déjà une AUC de 0.984 sans modèle ; le gain apporté par les modèles (AUC de 0.9971 pour le Random Forest) est réel mais limité, et reflète surtout la structure synthétique des données. Sur des données bancaires réelles, une AUC de 0.75 à 0.85 est habituellement considérée comme très bonne.</w:t>
      </w:r>
    </w:p>
    <w:p>
      <w:pPr>
        <w:spacing w:after="0"/>
      </w:pPr>
      <w:r>
        <w:br w:type="page"/>
      </w:r>
    </w:p>
    <w:p>
      <w:pPr>
        <w:pStyle w:val="Heading1"/>
        <w:spacing w:after="200" w:before="360"/>
      </w:pPr>
      <w:r>
        <w:rPr>
          <w:rFonts w:ascii="Arial" w:cs="Arial" w:eastAsia="Arial" w:hAnsi="Arial"/>
          <w:b/>
          <w:bCs/>
        </w:rPr>
        <w:t xml:space="preserve">7. Évaluation avancée</w:t>
      </w:r>
    </w:p>
    <w:p>
      <w:pPr>
        <w:pStyle w:val="Heading2"/>
        <w:spacing w:after="160" w:before="280"/>
      </w:pPr>
      <w:r>
        <w:rPr>
          <w:rFonts w:ascii="Arial" w:cs="Arial" w:eastAsia="Arial" w:hAnsi="Arial"/>
          <w:b/>
          <w:bCs/>
        </w:rPr>
        <w:t xml:space="preserve">7.1 Matrices de confusion</w:t>
      </w:r>
    </w:p>
    <w:p>
      <w:pPr>
        <w:spacing w:after="40" w:before="120"/>
        <w:jc w:val="center"/>
      </w:pPr>
      <w:r>
        <w:drawing>
          <wp:inline distT="0" distB="0" distL="0" distR="0">
            <wp:extent cx="40005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9429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9 — Matrices de confusion (ensemble de test, 600 obs.)</w:t>
      </w:r>
    </w:p>
    <w:p>
      <w:pPr>
        <w:spacing w:after="140" w:line="288"/>
        <w:jc w:val="both"/>
      </w:pPr>
      <w:r>
        <w:rPr>
          <w:rFonts w:ascii="Arial" w:cs="Arial" w:eastAsia="Arial" w:hAnsi="Arial"/>
          <w:color w:val="2C3E50"/>
          <w:sz w:val="22"/>
          <w:szCs w:val="22"/>
        </w:rPr>
        <w:t xml:space="preserve">Random Forest : 551 vrais négatifs, 44 vrais positifs, 5 faux positifs, 0 faux négatif. Aucun client défaillant n'échappe au modèle.</w:t>
      </w:r>
    </w:p>
    <w:p>
      <w:pPr>
        <w:pStyle w:val="Heading2"/>
        <w:spacing w:after="160" w:before="280"/>
      </w:pPr>
      <w:r>
        <w:rPr>
          <w:rFonts w:ascii="Arial" w:cs="Arial" w:eastAsia="Arial" w:hAnsi="Arial"/>
          <w:b/>
          <w:bCs/>
        </w:rPr>
        <w:t xml:space="preserve">7.2 Courbes ROC</w:t>
      </w:r>
    </w:p>
    <w:p>
      <w:pPr>
        <w:spacing w:after="40" w:before="120"/>
        <w:jc w:val="center"/>
      </w:pPr>
      <w:r>
        <w:drawing>
          <wp:inline distT="0" distB="0" distL="0" distR="0">
            <wp:extent cx="3581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81400" cy="2667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10 — Courbes ROC comparatives</w:t>
      </w:r>
    </w:p>
    <w:p>
      <w:pPr>
        <w:spacing w:after="140" w:line="288"/>
        <w:jc w:val="both"/>
      </w:pPr>
      <w:r>
        <w:rPr>
          <w:rFonts w:ascii="Arial" w:cs="Arial" w:eastAsia="Arial" w:hAnsi="Arial"/>
          <w:color w:val="2C3E50"/>
          <w:sz w:val="22"/>
          <w:szCs w:val="22"/>
        </w:rPr>
        <w:t xml:space="preserve">L'AUC synthétise la capacité discriminante globale. AUC = 1.0 est un classifieur parfait, 0.5 correspond au hasard. Le Random Forest atteint 0.9971.</w:t>
      </w:r>
    </w:p>
    <w:p>
      <w:pPr>
        <w:pStyle w:val="Heading2"/>
        <w:spacing w:after="160" w:before="280"/>
      </w:pPr>
      <w:r>
        <w:rPr>
          <w:rFonts w:ascii="Arial" w:cs="Arial" w:eastAsia="Arial" w:hAnsi="Arial"/>
          <w:b/>
          <w:bCs/>
        </w:rPr>
        <w:t xml:space="preserve">7.3 Courbes Precision-Recall</w:t>
      </w:r>
    </w:p>
    <w:p>
      <w:pPr>
        <w:spacing w:after="40" w:before="120"/>
        <w:jc w:val="center"/>
      </w:pPr>
      <w:r>
        <w:drawing>
          <wp:inline distT="0" distB="0" distL="0" distR="0">
            <wp:extent cx="3581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81400" cy="2667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11 — Courbes Precision-Recall</w:t>
      </w:r>
    </w:p>
    <w:p>
      <w:pPr>
        <w:spacing w:after="0"/>
      </w:pPr>
      <w:r>
        <w:br w:type="page"/>
      </w:r>
    </w:p>
    <w:p>
      <w:pPr>
        <w:pStyle w:val="Heading2"/>
        <w:spacing w:after="160" w:before="280"/>
      </w:pPr>
      <w:r>
        <w:rPr>
          <w:rFonts w:ascii="Arial" w:cs="Arial" w:eastAsia="Arial" w:hAnsi="Arial"/>
          <w:b/>
          <w:bCs/>
        </w:rPr>
        <w:t xml:space="preserve">7.4 Statistique de Kolmogorov-Smirnov (KS)</w:t>
      </w:r>
    </w:p>
    <w:p>
      <w:pPr>
        <w:spacing w:after="140" w:line="288"/>
        <w:jc w:val="both"/>
      </w:pPr>
      <w:r>
        <w:rPr>
          <w:rFonts w:ascii="Arial" w:cs="Arial" w:eastAsia="Arial" w:hAnsi="Arial"/>
          <w:color w:val="2C3E50"/>
          <w:sz w:val="22"/>
          <w:szCs w:val="22"/>
        </w:rPr>
        <w:t xml:space="preserve">La statistique KS mesure la séparation maximale entre les CDF des scores pour les deux classes :</w:t>
      </w:r>
    </w:p>
    <w:p>
      <w:pPr>
        <w:spacing w:after="160" w:before="160"/>
        <w:jc w:val="center"/>
      </w:pPr>
      <w:r>
        <w:rPr>
          <w:rFonts w:ascii="Courier New" w:cs="Courier New" w:eastAsia="Courier New" w:hAnsi="Courier New"/>
          <w:i/>
          <w:iCs/>
          <w:color w:val="1E3A5F"/>
          <w:sz w:val="22"/>
          <w:szCs w:val="22"/>
        </w:rPr>
        <w:t xml:space="preserve">KS = max_t | F_non-défaut(t) - F_défaut(t) |</w:t>
      </w:r>
    </w:p>
    <w:p>
      <w:pPr>
        <w:spacing w:after="100" w:line="276"/>
      </w:pPr>
      <w:r>
        <w:rPr>
          <w:rFonts w:ascii="Arial" w:cs="Arial" w:eastAsia="Arial" w:hAnsi="Arial"/>
          <w:b/>
          <w:bCs/>
          <w:color w:val="1E3A5F"/>
          <w:sz w:val="22"/>
          <w:szCs w:val="22"/>
        </w:rPr>
        <w:t xml:space="preserve">Grille d'interprétation bancaire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KS</w:t>
            </w:r>
          </w:p>
        </w:tc>
        <w:tc>
          <w:tcPr>
            <w:tcW w:type="dxa" w:w="45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Qualité</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&lt; 0.20</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Inutilisable</w:t>
            </w:r>
          </w:p>
        </w:tc>
      </w:tr>
      <w:tr>
        <w:tc>
          <w:tcPr>
            <w:tcW w:type="dxa" w:w="4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0.20-0.40</w:t>
            </w:r>
          </w:p>
        </w:tc>
        <w:tc>
          <w:tcPr>
            <w:tcW w:type="dxa" w:w="45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Acceptable</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0.40-0.60</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Bon</w:t>
            </w:r>
          </w:p>
        </w:tc>
      </w:tr>
      <w:tr>
        <w:tc>
          <w:tcPr>
            <w:tcW w:type="dxa" w:w="4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0.60-0.75</w:t>
            </w:r>
          </w:p>
        </w:tc>
        <w:tc>
          <w:tcPr>
            <w:tcW w:type="dxa" w:w="45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Très bon</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&gt; 0.75</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Excellent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26"/>
      </w:tblGrid>
      <w:tr>
        <w:tc>
          <w:tcPr>
            <w:tcW w:type="dxa" w:w="3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Modèle</w:t>
            </w:r>
          </w:p>
        </w:tc>
        <w:tc>
          <w:tcPr>
            <w:tcW w:type="dxa" w:w="28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KS</w:t>
            </w:r>
          </w:p>
        </w:tc>
        <w:tc>
          <w:tcPr>
            <w:tcW w:type="dxa" w:w="27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Seuil optimal</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Random Forest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0.9928</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0.6194</w:t>
            </w:r>
          </w:p>
        </w:tc>
      </w:tr>
      <w:tr>
        <w:tc>
          <w:tcPr>
            <w:tcW w:type="dxa" w:w="3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SVM</w:t>
            </w:r>
          </w:p>
        </w:tc>
        <w:tc>
          <w:tcPr>
            <w:tcW w:type="dxa" w:w="28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0.9766</w:t>
            </w:r>
          </w:p>
        </w:tc>
        <w:tc>
          <w:tcPr>
            <w:tcW w:type="dxa" w:w="2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0.1196</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Rég. Logistique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0.9532</w:t>
            </w:r>
          </w:p>
        </w:tc>
        <w:tc>
          <w:tcPr>
            <w:tcW w:type="dxa" w:w="27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0.2740</w:t>
            </w:r>
          </w:p>
        </w:tc>
      </w:tr>
      <w:tr>
        <w:tc>
          <w:tcPr>
            <w:tcW w:type="dxa" w:w="3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Arbre de Décision</w:t>
            </w:r>
          </w:p>
        </w:tc>
        <w:tc>
          <w:tcPr>
            <w:tcW w:type="dxa" w:w="28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0.9503</w:t>
            </w:r>
          </w:p>
        </w:tc>
        <w:tc>
          <w:tcPr>
            <w:tcW w:type="dxa" w:w="27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0.3333</w:t>
            </w:r>
          </w:p>
        </w:tc>
      </w:tr>
    </w:tbl>
    <w:p>
      <w:pPr>
        <w:spacing w:after="100"/>
      </w:pPr>
    </w:p>
    <w:p>
      <w:pPr>
        <w:spacing w:after="40" w:before="120"/>
        <w:jc w:val="center"/>
      </w:pPr>
      <w:r>
        <w:drawing>
          <wp:inline distT="0" distB="0" distL="0" distR="0">
            <wp:extent cx="37528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52850" cy="24765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12 — Distribution des scores et statistique KS (Random Forest)</w:t>
      </w:r>
    </w:p>
    <w:p>
      <w:pPr>
        <w:pStyle w:val="Heading2"/>
        <w:spacing w:after="160" w:before="280"/>
      </w:pPr>
      <w:r>
        <w:rPr>
          <w:rFonts w:ascii="Arial" w:cs="Arial" w:eastAsia="Arial" w:hAnsi="Arial"/>
          <w:b/>
          <w:bCs/>
        </w:rPr>
        <w:t xml:space="preserve">7.5 Courbes Lift et Gain cumulatif</w:t>
      </w:r>
    </w:p>
    <w:p>
      <w:pPr>
        <w:spacing w:after="40" w:before="120"/>
        <w:jc w:val="center"/>
      </w:pPr>
      <w:r>
        <w:drawing>
          <wp:inline distT="0" distB="0" distL="0" distR="0">
            <wp:extent cx="4000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15525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13 — Courbes de Gain (gauche) et de Lift (droite)</w:t>
      </w:r>
    </w:p>
    <w:p>
      <w:pPr>
        <w:spacing w:after="140" w:line="288"/>
        <w:jc w:val="both"/>
      </w:pPr>
      <w:r>
        <w:rPr>
          <w:rFonts w:ascii="Arial" w:cs="Arial" w:eastAsia="Arial" w:hAnsi="Arial"/>
          <w:color w:val="2C3E50"/>
          <w:sz w:val="22"/>
          <w:szCs w:val="22"/>
        </w:rPr>
        <w:t xml:space="preserve">En ciblant les 15% de clients les plus risqués, le modèle capture 100% des défauts. Le Lift dépasse 10× dans le premier décile.</w:t>
      </w:r>
    </w:p>
    <w:p>
      <w:pPr>
        <w:spacing w:after="0"/>
      </w:pPr>
      <w:r>
        <w:br w:type="page"/>
      </w:r>
    </w:p>
    <w:p>
      <w:pPr>
        <w:pStyle w:val="Heading1"/>
        <w:spacing w:after="200" w:before="360"/>
      </w:pPr>
      <w:r>
        <w:rPr>
          <w:rFonts w:ascii="Arial" w:cs="Arial" w:eastAsia="Arial" w:hAnsi="Arial"/>
          <w:b/>
          <w:bCs/>
        </w:rPr>
        <w:t xml:space="preserve">8. Interprétabilité</w:t>
      </w:r>
    </w:p>
    <w:p>
      <w:pPr>
        <w:pStyle w:val="Heading2"/>
        <w:spacing w:after="160" w:before="280"/>
      </w:pPr>
      <w:r>
        <w:rPr>
          <w:rFonts w:ascii="Arial" w:cs="Arial" w:eastAsia="Arial" w:hAnsi="Arial"/>
          <w:b/>
          <w:bCs/>
        </w:rPr>
        <w:t xml:space="preserve">8.1 Feature Importance</w:t>
      </w:r>
    </w:p>
    <w:p>
      <w:pPr>
        <w:spacing w:after="40" w:before="120"/>
        <w:jc w:val="center"/>
      </w:pPr>
      <w:r>
        <w:drawing>
          <wp:inline distT="0" distB="0" distL="0" distR="0">
            <wp:extent cx="4000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3716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14 — Importance des variables par modèle</w:t>
      </w:r>
    </w:p>
    <w:p>
      <w:pPr>
        <w:pStyle w:val="Heading2"/>
        <w:spacing w:after="160" w:before="280"/>
      </w:pPr>
      <w:r>
        <w:rPr>
          <w:rFonts w:ascii="Arial" w:cs="Arial" w:eastAsia="Arial" w:hAnsi="Arial"/>
          <w:b/>
          <w:bCs/>
        </w:rPr>
        <w:t xml:space="preserve">8.2 SHAP Values — Théorie</w:t>
      </w:r>
    </w:p>
    <w:p>
      <w:pPr>
        <w:spacing w:after="140" w:line="288"/>
        <w:jc w:val="both"/>
      </w:pPr>
      <w:r>
        <w:rPr>
          <w:rFonts w:ascii="Arial" w:cs="Arial" w:eastAsia="Arial" w:hAnsi="Arial"/>
          <w:color w:val="2C3E50"/>
          <w:sz w:val="22"/>
          <w:szCs w:val="22"/>
        </w:rPr>
        <w:t xml:space="preserve">Les valeurs SHAP sont fondées sur la théorie des jeux coopératifs de Lloyd Shapley (Prix Nobel 2012). Le principe est de distribuer équitablement la prédiction entre toutes les features :</w:t>
      </w:r>
    </w:p>
    <w:p>
      <w:pPr>
        <w:spacing w:after="160" w:before="160"/>
        <w:jc w:val="center"/>
      </w:pPr>
      <w:r>
        <w:rPr>
          <w:rFonts w:ascii="Courier New" w:cs="Courier New" w:eastAsia="Courier New" w:hAnsi="Courier New"/>
          <w:i/>
          <w:iCs/>
          <w:color w:val="1E3A5F"/>
          <w:sz w:val="22"/>
          <w:szCs w:val="22"/>
        </w:rPr>
        <w:t xml:space="preserve">φ_j = Σ_S⊆F\{j}  [ |S|!(|F|-|S|-1)! / |F|! ] × [ f(S∪{j}) - f(S) ]</w:t>
      </w:r>
    </w:p>
    <w:p>
      <w:pPr>
        <w:spacing w:after="140" w:line="288"/>
        <w:jc w:val="both"/>
      </w:pPr>
      <w:r>
        <w:rPr>
          <w:rFonts w:ascii="Arial" w:cs="Arial" w:eastAsia="Arial" w:hAnsi="Arial"/>
          <w:color w:val="2C3E50"/>
          <w:sz w:val="22"/>
          <w:szCs w:val="22"/>
        </w:rPr>
        <w:t xml:space="preserve">où F est l'ensemble des features, S un sous-ensemble ne contenant pas j, et f(S) la prédiction utilisant uniquement S.</w:t>
      </w:r>
    </w:p>
    <w:p>
      <w:pPr>
        <w:spacing w:after="100"/>
      </w:pPr>
    </w:p>
    <w:p>
      <w:pPr>
        <w:spacing w:after="100" w:line="276"/>
      </w:pPr>
      <w:r>
        <w:rPr>
          <w:rFonts w:ascii="Arial" w:cs="Arial" w:eastAsia="Arial" w:hAnsi="Arial"/>
          <w:b/>
          <w:bCs/>
          <w:color w:val="1E3A5F"/>
          <w:sz w:val="22"/>
          <w:szCs w:val="22"/>
        </w:rPr>
        <w:t xml:space="preserve">Propriétés garanties :</w:t>
      </w:r>
    </w:p>
    <w:p>
      <w:pPr>
        <w:pStyle w:val="ListParagraph"/>
        <w:numPr>
          <w:ilvl w:val="0"/>
          <w:numId w:val="2"/>
        </w:numPr>
        <w:spacing w:after="80" w:line="264"/>
      </w:pPr>
      <w:r>
        <w:rPr>
          <w:rFonts w:ascii="Arial" w:cs="Arial" w:eastAsia="Arial" w:hAnsi="Arial"/>
          <w:color w:val="2C3E50"/>
          <w:sz w:val="22"/>
          <w:szCs w:val="22"/>
        </w:rPr>
        <w:t xml:space="preserve">Efficacité : Σ φ_j = f(x) - E[f(x)] (la somme des SHAP = écart à la prédiction moyenne).</w:t>
      </w:r>
    </w:p>
    <w:p>
      <w:pPr>
        <w:pStyle w:val="ListParagraph"/>
        <w:numPr>
          <w:ilvl w:val="0"/>
          <w:numId w:val="2"/>
        </w:numPr>
        <w:spacing w:after="80" w:line="264"/>
      </w:pPr>
      <w:r>
        <w:rPr>
          <w:rFonts w:ascii="Arial" w:cs="Arial" w:eastAsia="Arial" w:hAnsi="Arial"/>
          <w:color w:val="2C3E50"/>
          <w:sz w:val="22"/>
          <w:szCs w:val="22"/>
        </w:rPr>
        <w:t xml:space="preserve">Symétrie : deux features ayant la même contribution reçoivent la même valeur SHAP.</w:t>
      </w:r>
    </w:p>
    <w:p>
      <w:pPr>
        <w:pStyle w:val="ListParagraph"/>
        <w:numPr>
          <w:ilvl w:val="0"/>
          <w:numId w:val="2"/>
        </w:numPr>
        <w:spacing w:after="80" w:line="264"/>
      </w:pPr>
      <w:r>
        <w:rPr>
          <w:rFonts w:ascii="Arial" w:cs="Arial" w:eastAsia="Arial" w:hAnsi="Arial"/>
          <w:color w:val="2C3E50"/>
          <w:sz w:val="22"/>
          <w:szCs w:val="22"/>
        </w:rPr>
        <w:t xml:space="preserve">Null player : une feature sans impact reçoit φ = 0.</w:t>
      </w:r>
    </w:p>
    <w:p>
      <w:pPr>
        <w:pStyle w:val="ListParagraph"/>
        <w:numPr>
          <w:ilvl w:val="0"/>
          <w:numId w:val="2"/>
        </w:numPr>
        <w:spacing w:after="80" w:line="264"/>
      </w:pPr>
      <w:r>
        <w:rPr>
          <w:rFonts w:ascii="Arial" w:cs="Arial" w:eastAsia="Arial" w:hAnsi="Arial"/>
          <w:color w:val="2C3E50"/>
          <w:sz w:val="22"/>
          <w:szCs w:val="22"/>
        </w:rPr>
        <w:t xml:space="preserve">Additivité : combinaison linéaire de sous-modèles.</w:t>
      </w:r>
    </w:p>
    <w:p>
      <w:pPr>
        <w:pStyle w:val="Heading2"/>
        <w:spacing w:after="160" w:before="280"/>
      </w:pPr>
      <w:r>
        <w:rPr>
          <w:rFonts w:ascii="Arial" w:cs="Arial" w:eastAsia="Arial" w:hAnsi="Arial"/>
          <w:b/>
          <w:bCs/>
        </w:rPr>
        <w:t xml:space="preserve">8.3 SHAP — Résultats</w:t>
      </w:r>
    </w:p>
    <w:p>
      <w:pPr>
        <w:spacing w:after="40" w:before="120"/>
        <w:jc w:val="center"/>
      </w:pPr>
      <w:r>
        <w:drawing>
          <wp:inline distT="0" distB="0" distL="0" distR="0">
            <wp:extent cx="35814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581400" cy="3048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15 — SHAP Summary Plot (beeswarm)</w:t>
      </w:r>
    </w:p>
    <w:p>
      <w:pPr>
        <w:spacing w:after="0"/>
      </w:pPr>
      <w:r>
        <w:br w:type="page"/>
      </w:r>
    </w:p>
    <w:p>
      <w:pPr>
        <w:spacing w:after="40" w:before="120"/>
        <w:jc w:val="center"/>
      </w:pPr>
      <w:r>
        <w:drawing>
          <wp:inline distT="0" distB="0" distL="0" distR="0">
            <wp:extent cx="35337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33775" cy="295275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16 — SHAP Bar Plot — Importance moyenne absolue</w:t>
      </w:r>
    </w:p>
    <w:p>
      <w:pPr>
        <w:pStyle w:val="Heading2"/>
        <w:spacing w:after="160" w:before="280"/>
      </w:pPr>
      <w:r>
        <w:rPr>
          <w:rFonts w:ascii="Arial" w:cs="Arial" w:eastAsia="Arial" w:hAnsi="Arial"/>
          <w:b/>
          <w:bCs/>
        </w:rPr>
        <w:t xml:space="preserve">8.4 Interprétation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626"/>
      </w:tblGrid>
      <w:tr>
        <w:tc>
          <w:tcPr>
            <w:tcW w:type="dxa" w:w="22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Variable</w:t>
            </w:r>
          </w:p>
        </w:tc>
        <w:tc>
          <w:tcPr>
            <w:tcW w:type="dxa" w:w="12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SHAP moyen</w:t>
            </w:r>
          </w:p>
        </w:tc>
        <w:tc>
          <w:tcPr>
            <w:tcW w:type="dxa" w:w="2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Direction</w:t>
            </w:r>
          </w:p>
        </w:tc>
        <w:tc>
          <w:tcPr>
            <w:tcW w:type="dxa" w:w="36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Interprétation métier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revenu_mensuel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0.133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 rev → ↑ risque</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Premier facteur protecteur</w:t>
            </w:r>
          </w:p>
        </w:tc>
      </w:tr>
      <w:tr>
        <w:tc>
          <w:tcPr>
            <w:tcW w:type="dxa" w:w="2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ratio_credit_revenu</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0.080</w:t>
            </w:r>
          </w:p>
        </w:tc>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 ratio → ↑ risque</w:t>
            </w:r>
          </w:p>
        </w:tc>
        <w:tc>
          <w:tcPr>
            <w:tcW w:type="dxa" w:w="3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Crédit disproportionné vs revenu</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ratio_dette_revenu</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0.061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 ratio → ↑ risque</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Endettement existant élevé</w:t>
            </w:r>
          </w:p>
        </w:tc>
      </w:tr>
      <w:tr>
        <w:tc>
          <w:tcPr>
            <w:tcW w:type="dxa" w:w="2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score_stabilite</w:t>
            </w:r>
          </w:p>
        </w:tc>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0.044</w:t>
            </w:r>
          </w:p>
        </w:tc>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 score → ↑ risque</w:t>
            </w:r>
          </w:p>
        </w:tc>
        <w:tc>
          <w:tcPr>
            <w:tcW w:type="dxa" w:w="36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Instabilité professionnelle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ratio_endettement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0.036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 ratio → ↑ risque</w:t>
            </w:r>
          </w:p>
        </w:tc>
        <w:tc>
          <w:tcPr>
            <w:tcW w:type="dxa" w:w="36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Taux d'endettement élevé</w:t>
            </w:r>
          </w:p>
        </w:tc>
      </w:tr>
    </w:tbl>
    <w:p>
      <w:pPr>
        <w:spacing w:after="0"/>
      </w:pPr>
      <w:r>
        <w:br w:type="page"/>
      </w:r>
    </w:p>
    <w:p>
      <w:pPr>
        <w:pStyle w:val="Heading1"/>
        <w:spacing w:after="200" w:before="360"/>
      </w:pPr>
      <w:r>
        <w:rPr>
          <w:rFonts w:ascii="Arial" w:cs="Arial" w:eastAsia="Arial" w:hAnsi="Arial"/>
          <w:b/>
          <w:bCs/>
        </w:rPr>
        <w:t xml:space="preserve">9. Grille de scoring et politique de décision</w:t>
      </w:r>
    </w:p>
    <w:p>
      <w:pPr>
        <w:pStyle w:val="Heading2"/>
        <w:spacing w:after="160" w:before="280"/>
      </w:pPr>
      <w:r>
        <w:rPr>
          <w:rFonts w:ascii="Arial" w:cs="Arial" w:eastAsia="Arial" w:hAnsi="Arial"/>
          <w:b/>
          <w:bCs/>
        </w:rPr>
        <w:t xml:space="preserve">9.1 Méthode PDO — Dérivation mathématique</w:t>
      </w:r>
    </w:p>
    <w:p>
      <w:pPr>
        <w:spacing w:after="140" w:line="288"/>
        <w:jc w:val="both"/>
      </w:pPr>
      <w:r>
        <w:rPr>
          <w:rFonts w:ascii="Arial" w:cs="Arial" w:eastAsia="Arial" w:hAnsi="Arial"/>
          <w:color w:val="2C3E50"/>
          <w:sz w:val="22"/>
          <w:szCs w:val="22"/>
        </w:rPr>
        <w:t xml:space="preserve">La méthode PDO (Points to Double the Odds) établit une relation log-linéaire entre les odds du non-défaut et le score :</w:t>
      </w:r>
    </w:p>
    <w:p>
      <w:pPr>
        <w:spacing w:after="160" w:before="160"/>
        <w:jc w:val="center"/>
      </w:pPr>
      <w:r>
        <w:rPr>
          <w:rFonts w:ascii="Courier New" w:cs="Courier New" w:eastAsia="Courier New" w:hAnsi="Courier New"/>
          <w:i/>
          <w:iCs/>
          <w:color w:val="1E3A5F"/>
          <w:sz w:val="22"/>
          <w:szCs w:val="22"/>
        </w:rPr>
        <w:t xml:space="preserve">Odds = (1 - p) / p</w:t>
      </w:r>
    </w:p>
    <w:p>
      <w:pPr>
        <w:spacing w:after="160" w:before="160"/>
        <w:jc w:val="center"/>
      </w:pPr>
      <w:r>
        <w:rPr>
          <w:rFonts w:ascii="Courier New" w:cs="Courier New" w:eastAsia="Courier New" w:hAnsi="Courier New"/>
          <w:i/>
          <w:iCs/>
          <w:color w:val="1E3A5F"/>
          <w:sz w:val="22"/>
          <w:szCs w:val="22"/>
        </w:rPr>
        <w:t xml:space="preserve">Score = Offset + Factor × ln(Odds)</w:t>
      </w:r>
    </w:p>
    <w:p>
      <w:pPr>
        <w:spacing w:after="160" w:before="160"/>
        <w:jc w:val="center"/>
      </w:pPr>
      <w:r>
        <w:rPr>
          <w:rFonts w:ascii="Courier New" w:cs="Courier New" w:eastAsia="Courier New" w:hAnsi="Courier New"/>
          <w:i/>
          <w:iCs/>
          <w:color w:val="1E3A5F"/>
          <w:sz w:val="22"/>
          <w:szCs w:val="22"/>
        </w:rPr>
        <w:t xml:space="preserve">Factor = PDO / ln(2) = 20 / 0.693 = 28.85</w:t>
      </w:r>
    </w:p>
    <w:p>
      <w:pPr>
        <w:spacing w:after="160" w:before="160"/>
        <w:jc w:val="center"/>
      </w:pPr>
      <w:r>
        <w:rPr>
          <w:rFonts w:ascii="Courier New" w:cs="Courier New" w:eastAsia="Courier New" w:hAnsi="Courier New"/>
          <w:i/>
          <w:iCs/>
          <w:color w:val="1E3A5F"/>
          <w:sz w:val="22"/>
          <w:szCs w:val="22"/>
        </w:rPr>
        <w:t xml:space="preserve">Offset = Base_Score - Factor × ln(Base_Odds) = 600 - 28.85 × ln(50) = 487.12</w:t>
      </w:r>
    </w:p>
    <w:p>
      <w:pPr>
        <w:spacing w:after="100"/>
      </w:pPr>
    </w:p>
    <w:p>
      <w:pPr>
        <w:spacing w:after="100" w:line="276"/>
      </w:pPr>
      <w:r>
        <w:rPr>
          <w:rFonts w:ascii="Arial" w:cs="Arial" w:eastAsia="Arial" w:hAnsi="Arial"/>
          <w:b/>
          <w:bCs/>
          <w:color w:val="1E3A5F"/>
          <w:sz w:val="22"/>
          <w:szCs w:val="22"/>
        </w:rPr>
        <w:t xml:space="preserve">Formule finale :</w:t>
      </w:r>
    </w:p>
    <w:p>
      <w:pPr>
        <w:spacing w:after="160" w:before="160"/>
        <w:jc w:val="center"/>
      </w:pPr>
      <w:r>
        <w:rPr>
          <w:rFonts w:ascii="Courier New" w:cs="Courier New" w:eastAsia="Courier New" w:hAnsi="Courier New"/>
          <w:i/>
          <w:iCs/>
          <w:color w:val="1E3A5F"/>
          <w:sz w:val="22"/>
          <w:szCs w:val="22"/>
        </w:rPr>
        <w:t xml:space="preserve">Score = 487.12 + 28.85 × ln( (1-p) / 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Paramètre</w:t>
            </w:r>
          </w:p>
        </w:tc>
        <w:tc>
          <w:tcPr>
            <w:tcW w:type="dxa" w:w="2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Valeur</w:t>
            </w:r>
          </w:p>
        </w:tc>
        <w:tc>
          <w:tcPr>
            <w:tcW w:type="dxa" w:w="50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Justification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Base Score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600</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Standard industrie</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PDO</w:t>
            </w:r>
          </w:p>
        </w:tc>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w:t>
            </w:r>
          </w:p>
        </w:tc>
        <w:tc>
          <w:tcPr>
            <w:tcW w:type="dxa" w:w="50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20 pts par doublement des odds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Base Odds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1:50</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Ratio de référence</w:t>
            </w:r>
          </w:p>
        </w:tc>
      </w:tr>
      <w:tr>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Factor</w:t>
            </w:r>
          </w:p>
        </w:tc>
        <w:tc>
          <w:tcPr>
            <w:tcW w:type="dxa" w:w="2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28.85</w:t>
            </w:r>
          </w:p>
        </w:tc>
        <w:tc>
          <w:tcPr>
            <w:tcW w:type="dxa" w:w="50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PDO/ln(2)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Offset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487.12</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Base - Factor×ln(BaseOdds)</w:t>
            </w:r>
          </w:p>
        </w:tc>
      </w:tr>
    </w:tbl>
    <w:p>
      <w:pPr>
        <w:pStyle w:val="Heading2"/>
        <w:spacing w:after="160" w:before="280"/>
      </w:pPr>
      <w:r>
        <w:rPr>
          <w:rFonts w:ascii="Arial" w:cs="Arial" w:eastAsia="Arial" w:hAnsi="Arial"/>
          <w:b/>
          <w:bCs/>
        </w:rPr>
        <w:t xml:space="preserve">9.2 Segmentation et taux de défaut</w:t>
      </w:r>
    </w:p>
    <w:p>
      <w:pPr>
        <w:spacing w:after="40" w:before="120"/>
        <w:jc w:val="center"/>
      </w:pPr>
      <w:r>
        <w:drawing>
          <wp:inline distT="0" distB="0" distL="0" distR="0">
            <wp:extent cx="4000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5525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17 — Distribution des scores et segmentation</w:t>
      </w:r>
    </w:p>
    <w:p>
      <w:pPr>
        <w:spacing w:after="100"/>
      </w:pPr>
    </w:p>
    <w:p>
      <w:pPr>
        <w:spacing w:after="40" w:before="120"/>
        <w:jc w:val="center"/>
      </w:pPr>
      <w:r>
        <w:drawing>
          <wp:inline distT="0" distB="0" distL="0" distR="0">
            <wp:extent cx="36099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09975" cy="22383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18 — Taux de défaut par segment</w:t>
      </w:r>
    </w:p>
    <w:p>
      <w:pPr>
        <w:pStyle w:val="Heading2"/>
        <w:spacing w:after="160" w:before="280"/>
      </w:pPr>
      <w:r>
        <w:rPr>
          <w:rFonts w:ascii="Arial" w:cs="Arial" w:eastAsia="Arial" w:hAnsi="Arial"/>
          <w:b/>
          <w:bCs/>
        </w:rPr>
        <w:t xml:space="preserve">9.3 Politique de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500"/>
        <w:gridCol w:w="1000"/>
        <w:gridCol w:w="4226"/>
      </w:tblGrid>
      <w:tr>
        <w:tc>
          <w:tcPr>
            <w:tcW w:type="dxa" w:w="12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Segment</w:t>
            </w:r>
          </w:p>
        </w:tc>
        <w:tc>
          <w:tcPr>
            <w:tcW w:type="dxa" w:w="11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Score</w:t>
            </w:r>
          </w:p>
        </w:tc>
        <w:tc>
          <w:tcPr>
            <w:tcW w:type="dxa" w:w="15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Clients</w:t>
            </w:r>
          </w:p>
        </w:tc>
        <w:tc>
          <w:tcPr>
            <w:tcW w:type="dxa" w:w="1000"/>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Défaut</w:t>
            </w:r>
          </w:p>
        </w:tc>
        <w:tc>
          <w:tcPr>
            <w:tcW w:type="dxa" w:w="4226"/>
            <w:tcBorders>
              <w:top w:val="single" w:color="BBBBBB" w:sz="1"/>
              <w:left w:val="single" w:color="BBBBBB" w:sz="1"/>
              <w:bottom w:val="single" w:color="BBBBBB" w:sz="1"/>
              <w:right w:val="single" w:color="BBBBBB" w:sz="1"/>
            </w:tcBorders>
            <w:shd w:fill="1E3A5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Décision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Faible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650-999</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449 (74.8%)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APPROUVER — Taux standard</w:t>
            </w:r>
          </w:p>
        </w:tc>
      </w:tr>
      <w:tr>
        <w:tc>
          <w:tcPr>
            <w:tcW w:type="dxa" w:w="12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Modéré</w:t>
            </w:r>
          </w:p>
        </w:tc>
        <w:tc>
          <w:tcPr>
            <w:tcW w:type="dxa" w:w="11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550-650</w:t>
            </w:r>
          </w:p>
        </w:tc>
        <w:tc>
          <w:tcPr>
            <w:tcW w:type="dxa" w:w="15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66 (11.0%)</w:t>
            </w:r>
          </w:p>
        </w:tc>
        <w:tc>
          <w:tcPr>
            <w:tcW w:type="dxa" w:w="1000"/>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0.0%</w:t>
            </w:r>
          </w:p>
        </w:tc>
        <w:tc>
          <w:tcPr>
            <w:tcW w:type="dxa" w:w="4226"/>
            <w:tcBorders>
              <w:top w:val="single" w:color="BBBBBB" w:sz="1"/>
              <w:left w:val="single" w:color="BBBBBB" w:sz="1"/>
              <w:bottom w:val="single" w:color="BBBBBB" w:sz="1"/>
              <w:right w:val="single" w:color="BBBBBB" w:sz="1"/>
            </w:tcBorders>
            <w:shd w:fill="F5F7FA" w:val="clear"/>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CONDITIONNEL — Garanties + taux majoré</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Élevé</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0-550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85 (14.2%)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51.8%</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2C3E50"/>
                <w:sz w:val="18"/>
                <w:szCs w:val="18"/>
              </w:rPr>
              <w:t xml:space="preserve">REFUSER — Étude approfondie</w:t>
            </w:r>
          </w:p>
        </w:tc>
      </w:tr>
    </w:tbl>
    <w:p>
      <w:pPr>
        <w:spacing w:after="0"/>
      </w:pPr>
      <w:r>
        <w:br w:type="page"/>
      </w:r>
    </w:p>
    <w:p>
      <w:pPr>
        <w:pStyle w:val="Heading1"/>
        <w:spacing w:after="200" w:before="360"/>
      </w:pPr>
      <w:r>
        <w:rPr>
          <w:rFonts w:ascii="Arial" w:cs="Arial" w:eastAsia="Arial" w:hAnsi="Arial"/>
          <w:b/>
          <w:bCs/>
        </w:rPr>
        <w:t xml:space="preserve">10. Conclusion</w:t>
      </w:r>
    </w:p>
    <w:p>
      <w:pPr>
        <w:spacing w:after="140" w:line="288"/>
        <w:jc w:val="both"/>
      </w:pPr>
      <w:r>
        <w:rPr>
          <w:rFonts w:ascii="Arial" w:cs="Arial" w:eastAsia="Arial" w:hAnsi="Arial"/>
          <w:color w:val="2C3E50"/>
          <w:sz w:val="22"/>
          <w:szCs w:val="22"/>
        </w:rPr>
        <w:t xml:space="preserve">Ce projet a permis de construire un système complet de scoring crédit bancaire. Les contributions principales :</w:t>
      </w:r>
    </w:p>
    <w:p>
      <w:pPr>
        <w:pStyle w:val="ListParagraph"/>
        <w:numPr>
          <w:ilvl w:val="0"/>
          <w:numId w:val="2"/>
        </w:numPr>
        <w:spacing w:after="80" w:line="264"/>
      </w:pPr>
      <w:r>
        <w:rPr>
          <w:rFonts w:ascii="Arial" w:cs="Arial" w:eastAsia="Arial" w:hAnsi="Arial"/>
          <w:color w:val="2C3E50"/>
          <w:sz w:val="22"/>
          <w:szCs w:val="22"/>
        </w:rPr>
        <w:t>Exploration exhaustive identifiant le revenu (r=-0.442) et le ratio_endettement (r=0.674) comme variables dominantes, confirmé par WoE/IV (IV=10.69 pour le revenu et 2.75 pour l'endettement).</w:t>
      </w:r>
    </w:p>
    <w:p>
      <w:pPr>
        <w:pStyle w:val="ListParagraph"/>
        <w:numPr>
          <w:ilvl w:val="0"/>
          <w:numId w:val="2"/>
        </w:numPr>
        <w:spacing w:after="80" w:line="264"/>
      </w:pPr>
      <w:r>
        <w:rPr>
          <w:rFonts w:ascii="Arial" w:cs="Arial" w:eastAsia="Arial" w:hAnsi="Arial"/>
          <w:color w:val="2C3E50"/>
          <w:sz w:val="22"/>
          <w:szCs w:val="22"/>
        </w:rPr>
        <w:t xml:space="preserve">Feature engineering créant 6 ratios financiers enrichissant le pouvoir prédictif, validé par SHAP.</w:t>
      </w:r>
    </w:p>
    <w:p>
      <w:pPr>
        <w:pStyle w:val="ListParagraph"/>
        <w:numPr>
          <w:ilvl w:val="0"/>
          <w:numId w:val="2"/>
        </w:numPr>
        <w:spacing w:after="80" w:line="264"/>
      </w:pPr>
      <w:r>
        <w:rPr>
          <w:rFonts w:ascii="Arial" w:cs="Arial" w:eastAsia="Arial" w:hAnsi="Arial"/>
          <w:color w:val="2C3E50"/>
          <w:sz w:val="22"/>
          <w:szCs w:val="22"/>
        </w:rPr>
        <w:t xml:space="preserve">Traitement rigoureux du déséquilibre (SMOTE) et du data leakage (exclusion credit_accorde).</w:t>
      </w:r>
    </w:p>
    <w:p>
      <w:pPr>
        <w:pStyle w:val="ListParagraph"/>
        <w:numPr>
          <w:ilvl w:val="0"/>
          <w:numId w:val="2"/>
        </w:numPr>
        <w:spacing w:after="80" w:line="264"/>
      </w:pPr>
      <w:r>
        <w:rPr>
          <w:rFonts w:ascii="Arial" w:cs="Arial" w:eastAsia="Arial" w:hAnsi="Arial"/>
          <w:color w:val="2C3E50"/>
          <w:sz w:val="22"/>
          <w:szCs w:val="22"/>
        </w:rPr>
        <w:t xml:space="preserve">Sélection du Random Forest (AUC=0.9971, KS=0.9928, Recall=100%) après comparaison de 4 algorithmes et optimisation GridSearchCV.</w:t>
      </w:r>
    </w:p>
    <w:p>
      <w:pPr>
        <w:pStyle w:val="ListParagraph"/>
        <w:numPr>
          <w:ilvl w:val="0"/>
          <w:numId w:val="2"/>
        </w:numPr>
        <w:spacing w:after="80" w:line="264"/>
      </w:pPr>
      <w:r>
        <w:rPr>
          <w:rFonts w:ascii="Arial" w:cs="Arial" w:eastAsia="Arial" w:hAnsi="Arial"/>
          <w:color w:val="2C3E50"/>
          <w:sz w:val="22"/>
          <w:szCs w:val="22"/>
        </w:rPr>
        <w:t xml:space="preserve">Interprétabilité complète via SHAP values, permettant d'expliquer chaque décision individuellement.</w:t>
      </w:r>
    </w:p>
    <w:p>
      <w:pPr>
        <w:pStyle w:val="ListParagraph"/>
        <w:numPr>
          <w:ilvl w:val="0"/>
          <w:numId w:val="2"/>
        </w:numPr>
        <w:spacing w:after="80" w:line="264"/>
      </w:pPr>
      <w:r>
        <w:rPr>
          <w:rFonts w:ascii="Arial" w:cs="Arial" w:eastAsia="Arial" w:hAnsi="Arial"/>
          <w:color w:val="2C3E50"/>
          <w:sz w:val="22"/>
          <w:szCs w:val="22"/>
        </w:rPr>
        <w:t xml:space="preserve">Scorecard PDO opérationnelle avec politique de décision en 3 segments validée (0% défaut segment faible, 51.8% segment élevé).</w:t>
      </w:r>
    </w:p>
    <w:p>
      <w:pPr>
        <w:pStyle w:val="ListParagraph"/>
        <w:numPr>
          <w:ilvl w:val="0"/>
          <w:numId w:val="2"/>
        </w:numPr>
        <w:spacing w:after="80" w:line="264"/>
      </w:pPr>
      <w:r>
        <w:rPr>
          <w:rFonts w:ascii="Arial" w:cs="Arial" w:eastAsia="Arial" w:hAnsi="Arial"/>
          <w:color w:val="2C3E50"/>
          <w:sz w:val="22"/>
          <w:szCs w:val="22"/>
        </w:rPr>
        <w:t>Analyse critique des performances : le revenu seul atteignant une AUC de 0.984, les scores obtenus reflètent la nature synthétique des données et devront être confirmés sur des données réelles.</w:t>
      </w:r>
    </w:p>
    <w:p>
      <w:pPr>
        <w:spacing w:after="100"/>
      </w:pPr>
    </w:p>
    <w:p>
      <w:pPr>
        <w:spacing w:after="100" w:line="276"/>
      </w:pPr>
      <w:r>
        <w:rPr>
          <w:rFonts w:ascii="Arial" w:cs="Arial" w:eastAsia="Arial" w:hAnsi="Arial"/>
          <w:b/>
          <w:bCs/>
          <w:color w:val="1E3A5F"/>
          <w:sz w:val="22"/>
          <w:szCs w:val="22"/>
        </w:rPr>
        <w:t xml:space="preserve">Perspectives :</w:t>
      </w:r>
    </w:p>
    <w:p>
      <w:pPr>
        <w:pStyle w:val="ListParagraph"/>
        <w:numPr>
          <w:ilvl w:val="0"/>
          <w:numId w:val="2"/>
        </w:numPr>
        <w:spacing w:after="80" w:line="264"/>
      </w:pPr>
      <w:r>
        <w:rPr>
          <w:rFonts w:ascii="Arial" w:cs="Arial" w:eastAsia="Arial" w:hAnsi="Arial"/>
          <w:color w:val="2C3E50"/>
          <w:sz w:val="22"/>
          <w:szCs w:val="22"/>
        </w:rPr>
        <w:t xml:space="preserve">Déploiement via API REST (Flask/FastAPI) pour une utilisation en temps réel.</w:t>
      </w:r>
    </w:p>
    <w:p>
      <w:pPr>
        <w:pStyle w:val="ListParagraph"/>
        <w:numPr>
          <w:ilvl w:val="0"/>
          <w:numId w:val="2"/>
        </w:numPr>
        <w:spacing w:after="80" w:line="264"/>
      </w:pPr>
      <w:r>
        <w:rPr>
          <w:rFonts w:ascii="Arial" w:cs="Arial" w:eastAsia="Arial" w:hAnsi="Arial"/>
          <w:color w:val="2C3E50"/>
          <w:sz w:val="22"/>
          <w:szCs w:val="22"/>
        </w:rPr>
        <w:t xml:space="preserve">Monitoring de la performance du modèle dans le temps (concept drift).</w:t>
      </w:r>
    </w:p>
    <w:p>
      <w:pPr>
        <w:pStyle w:val="ListParagraph"/>
        <w:numPr>
          <w:ilvl w:val="0"/>
          <w:numId w:val="2"/>
        </w:numPr>
        <w:spacing w:after="80" w:line="264"/>
      </w:pPr>
      <w:r>
        <w:rPr>
          <w:rFonts w:ascii="Arial" w:cs="Arial" w:eastAsia="Arial" w:hAnsi="Arial"/>
          <w:color w:val="2C3E50"/>
          <w:sz w:val="22"/>
          <w:szCs w:val="22"/>
        </w:rPr>
        <w:t xml:space="preserve">Enrichissement avec des variables comportementales (historique de transactions).</w:t>
      </w:r>
    </w:p>
    <w:p>
      <w:pPr>
        <w:pStyle w:val="ListParagraph"/>
        <w:numPr>
          <w:ilvl w:val="0"/>
          <w:numId w:val="2"/>
        </w:numPr>
        <w:spacing w:after="80" w:line="264"/>
      </w:pPr>
      <w:r>
        <w:rPr>
          <w:rFonts w:ascii="Arial" w:cs="Arial" w:eastAsia="Arial" w:hAnsi="Arial"/>
          <w:color w:val="2C3E50"/>
          <w:sz w:val="22"/>
          <w:szCs w:val="22"/>
        </w:rPr>
        <w:t xml:space="preserve">Exploration de modèles avancés (XGBoost, LightGBM) et de techniques d'ensemble stacking.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BOUTAYEB M. &amp; DIOURI A. — Pr. EL FAR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Scoring Crédit Bancaire — ESISA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d9f87e3e0cdf77311d7f9345558793a1507226.png"/><Relationship Id="rId10" Type="http://schemas.openxmlformats.org/officeDocument/2006/relationships/image" Target="media/fbb5db91242e2ac6024898d1c6b29e5b209123db.png"/><Relationship Id="rId11" Type="http://schemas.openxmlformats.org/officeDocument/2006/relationships/image" Target="media/4130ec2fe6c27c71113fc622b651205239350077.png"/><Relationship Id="rId12" Type="http://schemas.openxmlformats.org/officeDocument/2006/relationships/image" Target="media/385ea7cd7a59c5fd88926e4b968dc0cc80ba726a.png"/><Relationship Id="rId13" Type="http://schemas.openxmlformats.org/officeDocument/2006/relationships/image" Target="media/c7dae73020878da80d460449a073212906b3c736.png"/><Relationship Id="rId14" Type="http://schemas.openxmlformats.org/officeDocument/2006/relationships/image" Target="media/b89e6c207c35681028d8e76a2108707fa6e39f97.png"/><Relationship Id="rId15" Type="http://schemas.openxmlformats.org/officeDocument/2006/relationships/image" Target="media/ddca743d869774debff379f31f9e8499f46c7a53.png"/><Relationship Id="rId16" Type="http://schemas.openxmlformats.org/officeDocument/2006/relationships/image" Target="media/f653c63262394afb365229684223c3b78d25e998.png"/><Relationship Id="rId17" Type="http://schemas.openxmlformats.org/officeDocument/2006/relationships/image" Target="media/c5d7c874db10ac3e5f88f0084a1bd29b54a3e130.png"/><Relationship Id="rId18" Type="http://schemas.openxmlformats.org/officeDocument/2006/relationships/image" Target="media/5cdd87f2f4af92cfd90a8a5e903f619ed621aeff.png"/><Relationship Id="rId19" Type="http://schemas.openxmlformats.org/officeDocument/2006/relationships/image" Target="media/fd3ca82af40c1fb9f5e846de28c3d8f6435e2a32.png"/><Relationship Id="rId20" Type="http://schemas.openxmlformats.org/officeDocument/2006/relationships/image" Target="media/1b96410c9d185a8d38dfbbdeafbe16504561f58b.png"/><Relationship Id="rId21" Type="http://schemas.openxmlformats.org/officeDocument/2006/relationships/image" Target="media/9341d40534cbadbaee2284364a028dd3bd5cfe00.png"/><Relationship Id="rId22" Type="http://schemas.openxmlformats.org/officeDocument/2006/relationships/image" Target="media/614db728ac3e5c50c7e11d754d00999651a0ecb3.png"/><Relationship Id="rId23" Type="http://schemas.openxmlformats.org/officeDocument/2006/relationships/image" Target="media/debc84c47172b6ad9666045d351a8f9a1b69e92f.png"/><Relationship Id="rId24" Type="http://schemas.openxmlformats.org/officeDocument/2006/relationships/image" Target="media/4309c1f8c7f7287f3375c66a695fe529ca8379d6.png"/><Relationship Id="rId25" Type="http://schemas.openxmlformats.org/officeDocument/2006/relationships/image" Target="media/ac5d3a6e05ae50b2f3b5cba65bc7086b8bed3e33.png"/><Relationship Id="rId26" Type="http://schemas.openxmlformats.org/officeDocument/2006/relationships/image" Target="media/cae43fe762fb8f59d385a5ff6056524b7175bd83.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Marouane Boutayeb</dc:creator>
  <cp:lastModifiedBy>Marouane Boutayeb</cp:lastModifiedBy>
  <cp:revision>1</cp:revision>
  <dcterms:created xsi:type="dcterms:W3CDTF">2026-06-09T17:19:20.993Z</dcterms:created>
  <dcterms:modified xsi:type="dcterms:W3CDTF">2026-06-09T17:19:21.009Z</dcterms:modified>
  <dc:title>Scoring Crédit des Clients Bancaires</dc:title>
</cp:coreProperties>
</file>

<file path=docProps/custom.xml><?xml version="1.0" encoding="utf-8"?>
<Properties xmlns="http://schemas.openxmlformats.org/officeDocument/2006/custom-properties" xmlns:vt="http://schemas.openxmlformats.org/officeDocument/2006/docPropsVTypes"/>
</file>