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sdt>
      <w:sdtPr>
        <w:rPr>
          <w:lang w:val="en-GB"/>
        </w:rPr>
        <w:alias w:val="Algemeen.Context"/>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vraagstelling juist is en of er nog aanvullende of afwijkende vragen zijn, vul aan/pas aan/verwijder waar nodig</w:t>
                      </w:r>
                    </w:p>
                  </w:txbxContent>
                </v:textbox>
                <w10:anchorlock/>
              </v:roundrect>
            </w:pict>
          </mc:Fallback>
        </mc:AlternateContent>
      </w:r>
    </w:p>
    <w:sdt>
      <w:sdtPr>
        <w:rPr>
          <w:lang w:val="en-GB"/>
        </w:rPr>
        <w:alias w:val="Algemeen.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sdt>
      <w:sdtPr>
        <w:rPr>
          <w:lang w:val="en-GB"/>
        </w:rPr>
        <w:alias w:val="Beantwoording vraagstelling.Vraagstelling"/>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