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sdt>
      <w:sdtPr>
        <w:rPr>
          <w:lang w:val="en-GB"/>
        </w:rPr>
        <w:alias w:val="Algemeen.Context"/>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v:textbox>
                <w10:anchorlock/>
              </v:roundrect>
            </w:pict>
          </mc:Fallback>
        </mc:AlternateContent>
      </w:r>
    </w:p>
    <w:sdt>
      <w:sdtPr>
        <w:rPr>
          <w:lang w:val="en-GB"/>
        </w:rPr>
        <w:alias w:val="Algemeen.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sdt>
      <w:sdtPr>
        <w:rPr>
          <w:lang w:val="en-GB"/>
        </w:rPr>
        <w:alias w:val="Beantwoording vraagstelling.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