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context juist is (arbeidsrechtelijk, civielrechtelijk, bestuursrechtelijk,...) en verbeter deze waar nodig. Ook kan hier een korte schets van de toedracht tot het onderzoek gegeven worden.</w:t>
      </w:r>
    </w:p>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vraagstelling juist is en of er nog aanvullende of afwijkende vragen zijn, vul aan/pas aan/verwijder waar nodig</w:t>
      </w:r>
    </w:p>
    <w:sdt>
      <w:sdtPr>
        <w:alias w:val="Algemeen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sdt>
      <w:sdtPr>
        <w:alias w:val="Bespreking Samenvatt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de samenvatting worden alle relevante gegevens uit het voorgaande onderzoek kernachtig samengevat. Van belang is dat alleen de feiten uit het voorgaande worden weergegeven. De samenvatting bevat dus geen interpretaties, gevolgtrekkingen of hypotheses (uitgezonderd zijn de bevindingen uit het psychiatrisch onderzoek waarbij per definitie sprake is van interpretatie).</w:t>
      </w:r>
    </w:p>
    <w:sdt>
      <w:sdtPr>
        <w:alias w:val="Bespreking Samenvatt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386BA562" w14:textId="18AF28EC" w:rsidR="00DE30B0" w:rsidRDefault="00DE30B0" w:rsidP="00DE30B0">
      <w:pPr>
        <w:pStyle w:val="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Toelichting"/>
      </w:pPr>
      <w:r>
        <w:t xml:space="preserve">Affectieve beperkingen</w:t>
      </w:r>
    </w:p>
    <w:p>
      <w:pPr>
        <w:pStyle w:val="Toelichting"/>
      </w:pPr>
      <w:r>
        <w:t xml:space="preserve">etc, etc...</w:t>
      </w:r>
    </w:p>
    <w:sdt>
      <w:sdtPr>
        <w:alias w:val="Bespreking.Beschouwing.Beperkingen in het 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p w14:paraId="386BA562" w14:textId="18AF28EC" w:rsidR="00DE30B0" w:rsidRDefault="00DE30B0" w:rsidP="00DE30B0">
      <w:pPr>
        <w:pStyle w:val="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sdt>
      <w:sdtPr>
        <w:alias w:val="Bespreking.Beschouwing.Adviezen voor behandel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Prognostische overwegingen</w:t>
      </w:r>
    </w:p>
    <w:p w14:paraId="386BA562" w14:textId="18AF28EC" w:rsidR="00DE30B0" w:rsidRDefault="00DE30B0" w:rsidP="00DE30B0">
      <w:pPr>
        <w:pStyle w:val="Toelichting"/>
      </w:pPr>
      <w:r w:rsidRPr="00C80E75">
        <w:t xml:space="preserve">Bespreek dit altijd systematisch. Begin met de meeste objectieve constateringen. Bespreek in ieder geval: </w:t>
      </w:r>
    </w:p>
    <w:p>
      <w:pPr>
        <w:pStyle w:val="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Toelichting"/>
      </w:pPr>
      <w:r>
        <w:t xml:space="preserve">Bespreek vervolgens andere bekende prognostische factoren: comorbiditeit, sociaal-maatschappelijke problematiek, middelenmisbruik etc. </w:t>
      </w:r>
    </w:p>
    <w:p>
      <w:pPr>
        <w:pStyle w:val="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sdt>
      <w:sdtPr>
        <w:alias w:val="Bespreking.Beschouwing.Prognostische overweging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p w14:paraId="386BA562" w14:textId="18AF28EC" w:rsidR="00DE30B0" w:rsidRDefault="00DE30B0" w:rsidP="00DE30B0">
      <w:pPr>
        <w:pStyle w:val="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sdt>
      <w:sdtPr>
        <w:alias w:val="Bespreking.Beschouwing.Weging van de externe stukk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sdt>
      <w:sdtPr>
        <w:alias w:val="Bespreking Conclus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sdt>
      <w:sdtPr>
        <w:alias w:val="Bespreking Conclus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sdt>
      <w:sdtPr>
        <w:alias w:val="Beantwoording vraagstelling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sdt>
      <w:sdtPr>
        <w:alias w:val="Beantwoording vraagstelling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