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1C97298A"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026FC38C">
            <wp:simplePos x="0" y="0"/>
            <wp:positionH relativeFrom="page">
              <wp:posOffset>-3809365</wp:posOffset>
            </wp:positionH>
            <wp:positionV relativeFrom="page">
              <wp:posOffset>1076325</wp:posOffset>
            </wp:positionV>
            <wp:extent cx="8186400" cy="818640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00" cy="8186400"/>
                    </a:xfrm>
                    <a:prstGeom prst="rect">
                      <a:avLst/>
                    </a:prstGeom>
                    <a:effec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33711005" w:rsidR="001F3654" w:rsidRPr="00CF795B" w:rsidRDefault="001F3654" w:rsidP="00CF795B">
            <w:pPr>
              <w:pStyle w:val="Titel"/>
              <w:ind w:left="0"/>
            </w:pPr>
            <w:r w:rsidRPr="00CF795B">
              <w:t xml:space="preserve">Bestuursrechtelijke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Onafhankelijke psychiatrische expertise</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 verband met eventueel recht op een uitkering krachtens de Ziektewet, de WAO/WIA/WGA/IVA of de Wajong moet vaststaan dat er sprake is van ziekte of gebrek. 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 verband met eventueel recht op een uitkering krachtens de Ziektewet, de WAO/WIA/WGA/IVA of de Wajong moet vaststaan dat er sprake is van ziekte of gebrek. 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Context"/>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De rapportage wordt in een bestuursgerechtelijk kader uitgevoerd in opdracht van [RECHTBANK/CRvB] inzake een (hoger) beroep van betrokkene tegen een beslissing van het UWV omtrent de mate van arbeidsongeschiktheid en/of het aanspraak maken op een uitkering</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Inzage- en blokkeringsrecht zijn niet van toepassing. Na het eventueel verwerken van gewenste correcties, wordt het definitieve rapport rechtstreeks aan de [RECHTBANK/CRvB] verstuurd</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Gezien de context waarbinnen het onderzoek plaatsvindt, is er geen commentaarfase. Partijen kunnen hun zienswijzen ter zitting aanhangig maken. Eventueel kan de [RECHTBANK/CRvB] aan deskundige aanvullende vragen voorleggen</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Vraagstell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Speciële anamnes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rPr>
          <w:lang w:val="en-GB"/>
        </w:rPr>
        <w:alias w:val="Onderzoek Dagverhaal"/>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Samenvatting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 de samenvatting worden alle relevante gegevens uit het voorgaande onderzoek kernachtig samengevat. Het betreft dus geen gedeeltelijke of volledige heraling van deze gegevens. Van belang is dat alleen de feiten uit het voorgaande worden weergegeven. De samenvatting bevat dus geen interpretaties, gevolgtrekkingen of hypotheses (uitgezonderd zijn de bevindingen uit het psychiatrisch onderzoek waarbij per definitie sprake is van interpretatie).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 de samenvatting worden alle relevante gegevens uit het voorgaande onderzoek kernachtig samengevat. Het betreft dus geen gedeeltelijke of volledige heraling van deze gegevens. Van belang is dat alleen de feiten uit het voorgaande worden weergegeven. De samenvatting bevat dus geen interpretaties, gevolgtrekkingen of hypotheses (uitgezonderd zijn de bevindingen uit het psychiatrisch onderzoek waarbij per definitie sprake is van interpretatie).</w:t>
                      </w:r>
                    </w:p>
                  </w:txbxContent>
                </v:textbox>
                <w10:anchorlock/>
              </v:roundrect>
            </w:pict>
          </mc:Fallback>
        </mc:AlternateContent>
      </w:r>
    </w:p>
    <w:p w14:paraId="1EA1A520" w14:textId="649AA4C9" w:rsidR="000A4B24" w:rsidRDefault="000A4B24" w:rsidP="000A4B24">
      <w:pPr>
        <w:pStyle w:val="Eindetoelichting"/>
      </w:pPr>
    </w:p>
    <w:sdt>
      <w:sdtPr>
        <w:rPr>
          <w:lang w:val="en-GB"/>
        </w:rPr>
        <w:alias w:val="Bespreking.Samenvatt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Anamnese</w:t>
      </w:r>
    </w:p>
    <w:sdt>
      <w:sdtPr>
        <w:rPr>
          <w:lang w:val="en-GB"/>
        </w:rPr>
        <w:alias w:val="Bespreking.Samenvatting.Anamne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Psychiatrisch onderzoek</w:t>
      </w:r>
    </w:p>
    <w:sdt>
      <w:sdtPr>
        <w:rPr>
          <w:lang w:val="en-GB"/>
        </w:rPr>
        <w:alias w:val="Bespreking.Samenvatting.Psychiatrisch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Meetinstrumenten</w:t>
      </w:r>
    </w:p>
    <w:sdt>
      <w:sdtPr>
        <w:rPr>
          <w:lang w:val="en-GB"/>
        </w:rPr>
        <w:alias w:val="Bespreking.Samenvatting.Meetinstrumen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Externe stukken</w:t>
      </w:r>
    </w:p>
    <w:sdt>
      <w:sdtPr>
        <w:rPr>
          <w:lang w:val="en-GB"/>
        </w:rPr>
        <w:alias w:val="Bespreking.Samenvatting.Externe st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Beschouwing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beschouwing is de kern van het rapport. In de beschouwing komen alle overwegingen aan de rode die tot de beantwoording van de vraagstelling leiden.</w:t>
                            </w:r>
                          </w:p>
                          <w:p>
                            <w:pPr>
                              <w:pStyle w:val="Inhoudtoelichting"/>
                            </w:pPr>
                            <w:r>
                              <w:t xml:space="preserve">Een eventuele causaliteitsvraag wordt uitsluitend beantwoord vanuit de medische causaliteitsgedachte, dat wil zeggen op grond van datgene wat bekend en herkenbaar is met betrekking tot het ontstaan en het beloop van de onderhavige klachten en verschijnselen. Deze vaststelling gebeurt in overeenstemming met de gangbare wetenschappelijk inzichten dan wel richtlijnen binnen het desbetreffende vakgebied. De deskundige zal nooit anamnestische klachten en/of anamnesIsche beperkingen aan een gebeurtenis (bijvoorbeeld een ongeval of incident) toeschrijven of de causaliteit ervan louter baseren op grond van het feit dat deze na de gebeurtenis voor het eerst worden vermeld. De beoordeling van een eventueel juridisch causaal verband is voorbehouden aan parIjen en uiteindelijk de rechter. (Richtlijn NVMSR 2024 art 8.6)</w:t>
                            </w:r>
                          </w:p>
                          <w:p>
                            <w:pPr>
                              <w:pStyle w:val="Inhoudtoelichting"/>
                            </w:pPr>
                            <w:r>
                              <w:t xml:space="preserve">De eventuele beperkingen van de betrokkene worden zo nauwkeurig mogelijk beschreven en slechts in semi-kwanItaIeve vorm weergegeven. De hierbij geadviseerde termen zijn ‘geen, licht, matig, ernstig, volledig’. De deskundige zal zelf geen kwantificerende belastbaarheidsprofielen opstellen. Alleen een bedrijfsarts of een verzekeringsarts is bekwaam om een FuncIonele Mogelijkhedenlijst (FML) op te stellen. De deskundige kan wel de vaststellingen in een FML becommentariëren vanuit het eigen vakgebied en op grond van de eigen waarnemingen.) (Richtlijn NVMSR 2024 art 8.7)</w:t>
                            </w:r>
                          </w:p>
                          <w:p>
                            <w:pPr>
                              <w:pStyle w:val="Inhoudtoelichting"/>
                            </w:pPr>
                            <w:r>
                              <w:t xml:space="preserve">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 (Richtlijn NVMSR 2024 - specifieke aspecten bij rapportages in het bestuursrecht)</w:t>
                            </w:r>
                          </w:p>
                          <w:p>
                            <w:pPr>
                              <w:pStyle w:val="Inhoudtoelichting"/>
                            </w:pPr>
                            <w:r>
                              <w:t xml:space="preserve">De deskundige is eraan gehouden zich te beperken tot de beantwoording van de vraagstelling. Let dus goed op waar naar gevraagd wordt en beschouw en beantwoord alleen die zaken. Als er bijvoorbeeld niet naar een prognose en niet naar behandelmogelijkheden wordt gevraagd, dient dit ook niet beschouwd te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beschouwing is de kern van het rapport. In de beschouwing komen alle overwegingen aan de rode die tot de beantwoording van de vraagstelling leiden.</w:t>
                      </w:r>
                    </w:p>
                    <w:p>
                      <w:pPr>
                        <w:pStyle w:val="Inhoudtoelichting"/>
                      </w:pPr>
                      <w:r>
                        <w:t xml:space="preserve">Een eventuele causaliteitsvraag wordt uitsluitend beantwoord vanuit de medische causaliteitsgedachte, dat wil zeggen op grond van datgene wat bekend en herkenbaar is met betrekking tot het ontstaan en het beloop van de onderhavige klachten en verschijnselen. Deze vaststelling gebeurt in overeenstemming met de gangbare wetenschappelijk inzichten dan wel richtlijnen binnen het desbetreffende vakgebied. De deskundige zal nooit anamnestische klachten en/of anamnesIsche beperkingen aan een gebeurtenis (bijvoorbeeld een ongeval of incident) toeschrijven of de causaliteit ervan louter baseren op grond van het feit dat deze na de gebeurtenis voor het eerst worden vermeld. De beoordeling van een eventueel juridisch causaal verband is voorbehouden aan parIjen en uiteindelijk de rechter. (Richtlijn NVMSR 2024 art 8.6)</w:t>
                      </w:r>
                    </w:p>
                    <w:p>
                      <w:pPr>
                        <w:pStyle w:val="Inhoudtoelichting"/>
                      </w:pPr>
                      <w:r>
                        <w:t xml:space="preserve">De eventuele beperkingen van de betrokkene worden zo nauwkeurig mogelijk beschreven en slechts in semi-kwanItaIeve vorm weergegeven. De hierbij geadviseerde termen zijn ‘geen, licht, matig, ernstig, volledig’. De deskundige zal zelf geen kwantificerende belastbaarheidsprofielen opstellen. Alleen een bedrijfsarts of een verzekeringsarts is bekwaam om een FuncIonele Mogelijkhedenlijst (FML) op te stellen. De deskundige kan wel de vaststellingen in een FML becommentariëren vanuit het eigen vakgebied en op grond van de eigen waarnemingen.) (Richtlijn NVMSR 2024 art 8.7)</w:t>
                      </w:r>
                    </w:p>
                    <w:p>
                      <w:pPr>
                        <w:pStyle w:val="Inhoudtoelichting"/>
                      </w:pPr>
                      <w:r>
                        <w:t xml:space="preserve">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 (Richtlijn NVMSR 2024 - specifieke aspecten bij rapportages in het bestuursrecht)</w:t>
                      </w:r>
                    </w:p>
                    <w:p>
                      <w:pPr>
                        <w:pStyle w:val="Inhoudtoelichting"/>
                      </w:pPr>
                      <w:r>
                        <w:t xml:space="preserve">De deskundige is eraan gehouden zich te beperken tot de beantwoording van de vraagstelling. Let dus goed op waar naar gevraagd wordt en beschouw en beantwoord alleen die zaken. Als er bijvoorbeeld niet naar een prognose en niet naar behandelmogelijkheden wordt gevraagd, dient dit ook niet beschouwd te worden.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Bespreking.Beschouw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Validiteit van de anamnese</w:t>
      </w:r>
    </w:p>
    <w:sdt>
      <w:sdtPr>
        <w:rPr>
          <w:lang w:val="en-GB"/>
        </w:rPr>
        <w:alias w:val="Bespreking.Beschouwing.Validiteit van de anamne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Beschrijvende diagnose</w:t>
      </w:r>
    </w:p>
    <w:sdt>
      <w:sdtPr>
        <w:rPr>
          <w:lang w:val="en-GB"/>
        </w:rPr>
        <w:alias w:val="Bespreking.Beschouwing.Beschrijvende dia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Classificerende diagnose</w:t>
      </w:r>
    </w:p>
    <w:sdt>
      <w:sdtPr>
        <w:rPr>
          <w:lang w:val="en-GB"/>
        </w:rPr>
        <w:alias w:val="Bespreking.Beschouwing.Classificerende dia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Differentiaal diagnostische overwegingen</w:t>
      </w:r>
    </w:p>
    <w:sdt>
      <w:sdtPr>
        <w:rPr>
          <w:lang w:val="en-GB"/>
        </w:rPr>
        <w:alias w:val="Bespreking.Beschouwing.Differentiaal diagnostische overwegin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Diagnostiek op de in geding zijnde datum</w:t>
      </w:r>
    </w:p>
    <w:sdt>
      <w:sdtPr>
        <w:rPr>
          <w:lang w:val="en-GB"/>
        </w:rPr>
        <w:alias w:val="Bespreking.Beschouwing.Diagnostiek op de in geding zijnde datum"/>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Beperkingen in het functioneren op de in geding zijnde datum</w:t>
      </w:r>
    </w:p>
    <w:sdt>
      <w:sdtPr>
        <w:rPr>
          <w:lang w:val="en-GB"/>
        </w:rPr>
        <w:alias w:val="Bespreking.Beschouwing.Beperkingen in het functioneren op de in geding zijnde datum"/>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Weging van de externe stukken</w:t>
      </w:r>
    </w:p>
    <w:sdt>
      <w:sdtPr>
        <w:rPr>
          <w:lang w:val="en-GB"/>
        </w:rPr>
        <w:alias w:val="Bespreking.Beschouwing.Weging van de externe st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Beantwoording vraagstelling.Vraagstell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01844" w14:textId="77777777" w:rsidR="009A3071" w:rsidRPr="000C3C18" w:rsidRDefault="009A3071" w:rsidP="008965B0">
      <w:pPr>
        <w:spacing w:after="0" w:line="240" w:lineRule="auto"/>
      </w:pPr>
      <w:r w:rsidRPr="000C3C18">
        <w:separator/>
      </w:r>
    </w:p>
  </w:endnote>
  <w:endnote w:type="continuationSeparator" w:id="0">
    <w:p w14:paraId="43FBFBF5" w14:textId="77777777" w:rsidR="009A3071" w:rsidRPr="000C3C18" w:rsidRDefault="009A3071" w:rsidP="008965B0">
      <w:pPr>
        <w:spacing w:after="0" w:line="240" w:lineRule="auto"/>
      </w:pPr>
      <w:r w:rsidRPr="000C3C18">
        <w:continuationSeparator/>
      </w:r>
    </w:p>
  </w:endnote>
  <w:endnote w:type="continuationNotice" w:id="1">
    <w:p w14:paraId="053718D6" w14:textId="77777777" w:rsidR="009A3071" w:rsidRDefault="009A30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16945" w14:textId="77777777" w:rsidR="009A3071" w:rsidRPr="000C3C18" w:rsidRDefault="009A3071" w:rsidP="008965B0">
      <w:pPr>
        <w:spacing w:after="0" w:line="240" w:lineRule="auto"/>
      </w:pPr>
      <w:r w:rsidRPr="000C3C18">
        <w:separator/>
      </w:r>
    </w:p>
  </w:footnote>
  <w:footnote w:type="continuationSeparator" w:id="0">
    <w:p w14:paraId="4C340900" w14:textId="77777777" w:rsidR="009A3071" w:rsidRPr="000C3C18" w:rsidRDefault="009A3071" w:rsidP="008965B0">
      <w:pPr>
        <w:spacing w:after="0" w:line="240" w:lineRule="auto"/>
      </w:pPr>
      <w:r w:rsidRPr="000C3C18">
        <w:continuationSeparator/>
      </w:r>
    </w:p>
  </w:footnote>
  <w:footnote w:type="continuationNotice" w:id="1">
    <w:p w14:paraId="50C6F620" w14:textId="77777777" w:rsidR="009A3071" w:rsidRDefault="009A30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Bestuursrechtelijke 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Onafhankelijke psychiatrische expertise</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7C6F"/>
    <w:rsid w:val="006D07A9"/>
    <w:rsid w:val="006D0BBA"/>
    <w:rsid w:val="006D3E96"/>
    <w:rsid w:val="006D5926"/>
    <w:rsid w:val="006D5DB1"/>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8F4451"/>
    <w:rsid w:val="00900906"/>
    <w:rsid w:val="00901C4C"/>
    <w:rsid w:val="00905928"/>
    <w:rsid w:val="009066D2"/>
    <w:rsid w:val="00912E9E"/>
    <w:rsid w:val="009152B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74494"/>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832A0"/>
    <w:rsid w:val="003902C1"/>
    <w:rsid w:val="003E6AF3"/>
    <w:rsid w:val="00440766"/>
    <w:rsid w:val="0044248E"/>
    <w:rsid w:val="00482539"/>
    <w:rsid w:val="004915BF"/>
    <w:rsid w:val="004C78A7"/>
    <w:rsid w:val="00503BF8"/>
    <w:rsid w:val="00507AC9"/>
    <w:rsid w:val="005563ED"/>
    <w:rsid w:val="00557CB3"/>
    <w:rsid w:val="005A2C38"/>
    <w:rsid w:val="005B0086"/>
    <w:rsid w:val="00603576"/>
    <w:rsid w:val="00667912"/>
    <w:rsid w:val="006A4E0C"/>
    <w:rsid w:val="006C6AE9"/>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50DC9"/>
    <w:rsid w:val="00A77A1A"/>
    <w:rsid w:val="00A8648D"/>
    <w:rsid w:val="00AA762A"/>
    <w:rsid w:val="00AA763B"/>
    <w:rsid w:val="00AD48CC"/>
    <w:rsid w:val="00AE1764"/>
    <w:rsid w:val="00AF6345"/>
    <w:rsid w:val="00B00A95"/>
    <w:rsid w:val="00B054E1"/>
    <w:rsid w:val="00B16DC7"/>
    <w:rsid w:val="00B72BAA"/>
    <w:rsid w:val="00B81773"/>
    <w:rsid w:val="00B8655A"/>
    <w:rsid w:val="00B87D37"/>
    <w:rsid w:val="00B95B77"/>
    <w:rsid w:val="00BA34C1"/>
    <w:rsid w:val="00BE0A00"/>
    <w:rsid w:val="00BF6322"/>
    <w:rsid w:val="00BF6A60"/>
    <w:rsid w:val="00C315A9"/>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3.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4.xml><?xml version="1.0" encoding="utf-8"?>
<ds:datastoreItem xmlns:ds="http://schemas.openxmlformats.org/officeDocument/2006/customXml" ds:itemID="{F7FE62C1-EC4D-46C7-A5D7-4CFF556D6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387</Words>
  <Characters>2132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31</cp:revision>
  <dcterms:created xsi:type="dcterms:W3CDTF">2025-07-09T14:04:00Z</dcterms:created>
  <dcterms:modified xsi:type="dcterms:W3CDTF">2025-07-09T15:23:00Z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