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518E79B2" w14:textId="5A736805" w:rsidR="00FC3242" w:rsidRDefault="00FC3242" w:rsidP="004861F5">
      <w:r w:rsidRPr="00FC3242">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518E79B2" w14:textId="5A736805" w:rsidR="00FC3242" w:rsidRDefault="00FC3242" w:rsidP="004861F5">
      <w:r w:rsidRPr="00FC3242">
        <w:rPr>
          <w:highlight w:val="yellow"/>
        </w:rPr>
        <w:t xml:space="preserve">Inzage- en blokkeringsrecht zijn niet van toepassing. Na het eventueel verwerken van gewenste correcties, wordt het definitieve rapport rechtstreeks aan de [RECHTBANK/CRvB] verstuurd</w:t>
      </w:r>
    </w:p>
    <w:sdt>
      <w:sdtPr>
        <w:alias w:val="Algemeen.Inzage- en blokkering"/>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518E79B2" w14:textId="5A736805" w:rsidR="00FC3242" w:rsidRDefault="00FC3242" w:rsidP="004861F5">
      <w:r w:rsidRPr="00FC3242">
        <w:rPr>
          <w:highlight w:val="yellow"/>
        </w:rPr>
        <w:t xml:space="preserve">Gezien de context waarbinnen het onderzoek plaatsvindt, is er geen commentaarfase. Partijen kunnen hun zienswijzen ter zitting aanhangig maken. Eventueel kan de [RECHTBANK/CRvB] aan deskundige aanvullende vragen voorleggen</w:t>
      </w:r>
    </w:p>
    <w:sdt>
      <w:sdtPr>
        <w:alias w:val="Algemeen.Commentaar"/>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alias w:val="Bespreking.Samenvatt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Anamnese</w:t>
      </w:r>
    </w:p>
    <w:sdt>
      <w:sdt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Psychiatrisch onderzoek</w:t>
      </w:r>
    </w:p>
    <w:sdt>
      <w:sdt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Meetinstrumenten</w:t>
      </w:r>
    </w:p>
    <w:sdt>
      <w:sdt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Externe stukken</w:t>
      </w:r>
    </w:p>
    <w:sdt>
      <w:sdt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p w14:paraId="1EA1A520" w14:textId="649AA4C9" w:rsidR="000A4B24" w:rsidRDefault="000A4B24" w:rsidP="000A4B24">
      <w:pPr>
        <w:pStyle w:val="Eindetoelichting"/>
      </w:pPr>
    </w:p>
    <w:sdt>
      <w:sdtPr>
        <w:alias w:val="Bespreking.Beschouw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v:textbox>
                <w10:anchorlock/>
              </v:roundrect>
            </w:pict>
          </mc:Fallback>
        </mc:AlternateContent>
      </w:r>
    </w:p>
    <w:p w14:paraId="4395F4E1" w14:textId="77777777" w:rsidR="001C2379" w:rsidRDefault="001C2379" w:rsidP="001C2379">
      <w:pPr>
        <w:pStyle w:val="Eindetoelichting"/>
      </w:pPr>
    </w:p>
    <w:sdt>
      <w:sdtPr>
        <w:alias w:val="Bespreking.Beschouwing.Beperkingen in het 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Adviezen voor behandeling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v:textbox>
                <w10:anchorlock/>
              </v:roundrect>
            </w:pict>
          </mc:Fallback>
        </mc:AlternateContent>
      </w:r>
    </w:p>
    <w:p w14:paraId="4395F4E1" w14:textId="77777777" w:rsidR="001C2379" w:rsidRDefault="001C2379" w:rsidP="001C2379">
      <w:pPr>
        <w:pStyle w:val="Eindetoelichting"/>
      </w:pPr>
    </w:p>
    <w:sdt>
      <w:sdtPr>
        <w:alias w:val="Bespreking.Beschouwing.Adviezen voor behandel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Prognostische overwegingen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v:textbox>
                <w10:anchorlock/>
              </v:roundrect>
            </w:pict>
          </mc:Fallback>
        </mc:AlternateContent>
      </w:r>
    </w:p>
    <w:p w14:paraId="4395F4E1" w14:textId="77777777" w:rsidR="001C2379" w:rsidRDefault="001C2379" w:rsidP="001C2379">
      <w:pPr>
        <w:pStyle w:val="Eindetoelichting"/>
      </w:pPr>
    </w:p>
    <w:sdt>
      <w:sdtPr>
        <w:alias w:val="Bespreking.Beschouwing.Prognostische overweging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Weging van de externe stukken</w:t>
      </w:r>
    </w:p>
    <w:sdt>
      <w:sdt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v:textbox>
                <w10:anchorlock/>
              </v:roundrect>
            </w:pict>
          </mc:Fallback>
        </mc:AlternateContent>
      </w:r>
    </w:p>
    <w:p w14:paraId="1EA1A520" w14:textId="649AA4C9" w:rsidR="000A4B24" w:rsidRDefault="000A4B24" w:rsidP="000A4B24">
      <w:pPr>
        <w:pStyle w:val="Eindetoelichting"/>
      </w:pPr>
    </w:p>
    <w:sdt>
      <w:sdtPr>
        <w:alias w:val="Bespreking.Conclus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Bestuursrechtelijke rapportage</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Onafhankelijke psychiatrische expertise</w:t>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