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Interventieadvies</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We willen zicht krijgen op hoe betrokkene zelf het onderzoek ervaart, wat de hulpvraag van betrokkene zelf is en op welke manier betrokkene zijn/haar klachten, en de gevolgen daarvan ervaart.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We willen zicht krijgen op hoe betrokkene zelf het onderzoek ervaart, wat de hulpvraag van betrokkene zelf is en op welke manier betrokkene zijn/haar klachten, en de gevolgen daarvan ervaart. </w:t>
                      </w:r>
                    </w:p>
                  </w:txbxContent>
                </v:textbox>
                <w10:anchorlock/>
              </v:roundrect>
            </w:pict>
          </mc:Fallback>
        </mc:AlternateContent>
      </w:r>
    </w:p>
    <w:sdt>
      <w:sdtPr>
        <w:rPr>
          <w:lang w:val="en-GB"/>
        </w:rPr>
        <w:alias w:val="Onderzoek.Speciële 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Hulpvraag</w:t>
      </w:r>
    </w:p>
    <w:sdt>
      <w:sdtPr>
        <w:rPr>
          <w:lang w:val="en-GB"/>
        </w:rPr>
        <w:alias w:val="Onderzoek.Speciële anamnese.Hulpvraa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v:textbox>
                <w10:anchorlock/>
              </v:roundrect>
            </w:pict>
          </mc:Fallback>
        </mc:AlternateContent>
      </w:r>
    </w:p>
    <w:sdt>
      <w:sdtPr>
        <w:rPr>
          <w:lang w:val="en-GB"/>
        </w:rPr>
        <w:alias w:val="Onderzoek.Tractus 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Inhoud van het denken</w:t>
      </w:r>
    </w:p>
    <w:sdt>
      <w:sdtPr>
        <w:rPr>
          <w:lang w:val="en-GB"/>
        </w:rPr>
        <w:alias w:val="Onderzoek.Tractus anamnese.Inhoud van het 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0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naar het type angst, lichamelijke sensaties en cognities. Bevraag ook paniek, dwanggedachten en dwanghandelingen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naar het type angst, lichamelijke sensaties en cognities. Bevraag ook paniek, dwanggedachten en dwanghandelingen</w:t>
                      </w:r>
                    </w:p>
                  </w:txbxContent>
                </v:textbox>
                <w10:anchorlock/>
              </v:roundrect>
            </w:pict>
          </mc:Fallback>
        </mc:AlternateContent>
      </w:r>
    </w:p>
    <w:sdt>
      <w:sdtPr>
        <w:rPr>
          <w:lang w:val="en-GB"/>
        </w:rPr>
        <w:alias w:val="Onderzoek.Tractus anamnese.Angst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Slaap</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07"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Bevraag systematisch; hoe laat gaat betrokkene naar bed, hoe lang duurt het voor hij/zij in slaap valt, wordt hij/zij tussentijds wakker, zijn er problemen met te vroeg wakker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Bevraag systematisch; hoe laat gaat betrokkene naar bed, hoe lang duurt het voor hij/zij in slaap valt, wordt hij/zij tussentijds wakker, zijn er problemen met te vroeg wakker worden?</w:t>
                      </w:r>
                    </w:p>
                  </w:txbxContent>
                </v:textbox>
                <w10:anchorlock/>
              </v:roundrect>
            </w:pict>
          </mc:Fallback>
        </mc:AlternateContent>
      </w:r>
    </w:p>
    <w:sdt>
      <w:sdtPr>
        <w:rPr>
          <w:lang w:val="en-GB"/>
        </w:rPr>
        <w:alias w:val="Onderzoek.Tractus anamnese.Slaap"/>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Voeding en gewicht</w:t>
      </w:r>
    </w:p>
    <w:sdt>
      <w:sdtPr>
        <w:rPr>
          <w:lang w:val="en-GB"/>
        </w:rPr>
        <w:alias w:val="Onderzoek.Tractus anamnese.Voeding en gewich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08"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naar gebeurtenissen die betrokkene als traumatisch heeft ervaren, geef eventueel een omschrijving van traumatische gebeurtenissen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naar gebeurtenissen die betrokkene als traumatisch heeft ervaren, geef eventueel een omschrijving van traumatische gebeurtenissen</w:t>
                      </w:r>
                    </w:p>
                  </w:txbxContent>
                </v:textbox>
                <w10:anchorlock/>
              </v:roundrect>
            </w:pict>
          </mc:Fallback>
        </mc:AlternateContent>
      </w:r>
    </w:p>
    <w:sdt>
      <w:sdtPr>
        <w:rPr>
          <w:lang w:val="en-GB"/>
        </w:rPr>
        <w:alias w:val="Onderzoek.Tractus anamnese.Trauma"/>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Life-events</w:t>
      </w:r>
    </w:p>
    <w:sdt>
      <w:sdtPr>
        <w:rPr>
          <w:lang w:val="en-GB"/>
        </w:rPr>
        <w:alias w:val="Onderzoek.Tractus anamnese.Life-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09"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hier concreet en rechtstreeks naar. Indien er sprake is van suïcidaliteit, hanteer dan de CASE-methodiek:</w:t>
                            </w:r>
                          </w:p>
                          <w:p>
                            <w:pPr>
                              <w:rPr>
                                <w:b/>
                                <w:bCs/>
                                <w:color w:val="747474" w:themeColor="background2" w:themeShade="80"/>
                              </w:rPr>
                            </w:pPr>
                            <w:r>
                              <w:rPr>
                                <w:b/>
                                <w:bCs/>
                                <w:color w:val="747474" w:themeColor="background2" w:themeShade="80"/>
                              </w:rPr>
                              <w:t xml:space="preserve">1. Vraag naar de ruime voorgeschiedenis van suïcidaliteit - (langdurige kwetsbaarheid)</w:t>
                            </w:r>
                          </w:p>
                          <w:p>
                            <w:pPr>
                              <w:rPr>
                                <w:b/>
                                <w:bCs/>
                                <w:color w:val="747474" w:themeColor="background2" w:themeShade="80"/>
                              </w:rPr>
                            </w:pPr>
                            <w:r>
                              <w:rPr>
                                <w:b/>
                                <w:bCs/>
                                <w:color w:val="747474" w:themeColor="background2" w:themeShade="80"/>
                              </w:rPr>
                              <w:t xml:space="preserve">2. Vraag naar relevante gebeurtenissen in de recente voorgeschiedenis - (stressor)</w:t>
                            </w:r>
                          </w:p>
                          <w:p>
                            <w:pPr>
                              <w:rPr>
                                <w:b/>
                                <w:bCs/>
                                <w:color w:val="747474" w:themeColor="background2" w:themeShade="80"/>
                              </w:rPr>
                            </w:pPr>
                            <w:r>
                              <w:rPr>
                                <w:b/>
                                <w:bCs/>
                                <w:color w:val="747474" w:themeColor="background2" w:themeShade="80"/>
                              </w:rPr>
                              <w:t xml:space="preserve">3. Vraag naar actuele suïcidale gedachten, vraag naar de intensiteit, vraag naar plannen/voorbereidingen, vraag naar de bereidheid om die plannen uit te voeren of er juist van af te zien - (entrapment)</w:t>
                            </w:r>
                          </w:p>
                          <w:p>
                            <w:pPr>
                              <w:rPr>
                                <w:b/>
                                <w:bCs/>
                                <w:color w:val="747474" w:themeColor="background2" w:themeShade="80"/>
                              </w:rPr>
                            </w:pPr>
                            <w:r>
                              <w:rPr>
                                <w:b/>
                                <w:bCs/>
                                <w:color w:val="747474" w:themeColor="background2" w:themeShade="80"/>
                              </w:rPr>
                              <w:t xml:space="preserve">4. Vraag naar de toekomst, zowel op korte als langere termijn; 'wat gaat u straks doen als u thuis bent?', 'hoe ziet u de toekomst op de langere termijn?'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hier concreet en rechtstreeks naar. Indien er sprake is van suïcidaliteit, hanteer dan de CASE-methodiek:</w:t>
                      </w:r>
                    </w:p>
                    <w:p>
                      <w:pPr>
                        <w:rPr>
                          <w:b/>
                          <w:bCs/>
                          <w:color w:val="747474" w:themeColor="background2" w:themeShade="80"/>
                        </w:rPr>
                      </w:pPr>
                      <w:r>
                        <w:rPr>
                          <w:b/>
                          <w:bCs/>
                          <w:color w:val="747474" w:themeColor="background2" w:themeShade="80"/>
                        </w:rPr>
                        <w:t xml:space="preserve">1. Vraag naar de ruime voorgeschiedenis van suïcidaliteit - (langdurige kwetsbaarheid)</w:t>
                      </w:r>
                    </w:p>
                    <w:p>
                      <w:pPr>
                        <w:rPr>
                          <w:b/>
                          <w:bCs/>
                          <w:color w:val="747474" w:themeColor="background2" w:themeShade="80"/>
                        </w:rPr>
                      </w:pPr>
                      <w:r>
                        <w:rPr>
                          <w:b/>
                          <w:bCs/>
                          <w:color w:val="747474" w:themeColor="background2" w:themeShade="80"/>
                        </w:rPr>
                        <w:t xml:space="preserve">2. Vraag naar relevante gebeurtenissen in de recente voorgeschiedenis - (stressor)</w:t>
                      </w:r>
                    </w:p>
                    <w:p>
                      <w:pPr>
                        <w:rPr>
                          <w:b/>
                          <w:bCs/>
                          <w:color w:val="747474" w:themeColor="background2" w:themeShade="80"/>
                        </w:rPr>
                      </w:pPr>
                      <w:r>
                        <w:rPr>
                          <w:b/>
                          <w:bCs/>
                          <w:color w:val="747474" w:themeColor="background2" w:themeShade="80"/>
                        </w:rPr>
                        <w:t xml:space="preserve">3. Vraag naar actuele suïcidale gedachten, vraag naar de intensiteit, vraag naar plannen/voorbereidingen, vraag naar de bereidheid om die plannen uit te voeren of er juist van af te zien - (entrapment)</w:t>
                      </w:r>
                    </w:p>
                    <w:p>
                      <w:pPr>
                        <w:rPr>
                          <w:b/>
                          <w:bCs/>
                          <w:color w:val="747474" w:themeColor="background2" w:themeShade="80"/>
                        </w:rPr>
                      </w:pPr>
                      <w:r>
                        <w:rPr>
                          <w:b/>
                          <w:bCs/>
                          <w:color w:val="747474" w:themeColor="background2" w:themeShade="80"/>
                        </w:rPr>
                        <w:t xml:space="preserve">4. Vraag naar de toekomst, zowel op korte als langere termijn; 'wat gaat u straks doen als u thuis bent?', 'hoe ziet u de toekomst op de langere termijn?' </w:t>
                      </w:r>
                    </w:p>
                  </w:txbxContent>
                </v:textbox>
                <w10:anchorlock/>
              </v:roundrect>
            </w:pict>
          </mc:Fallback>
        </mc:AlternateContent>
      </w:r>
    </w:p>
    <w:sdt>
      <w:sdtPr>
        <w:rPr>
          <w:lang w:val="en-GB"/>
        </w:rPr>
        <w:alias w:val="Onderzoek.Tractus anamnese.Suïcidal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Automutilatie</w:t>
      </w:r>
    </w:p>
    <w:sdt>
      <w:sdtPr>
        <w:rPr>
          <w:lang w:val="en-GB"/>
        </w:rPr>
        <w:alias w:val="Onderzoek.Tractus anamnese.Automutil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Ander risico-gedrag</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0"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v:textbox>
                <w10:anchorlock/>
              </v:roundrect>
            </w:pict>
          </mc:Fallback>
        </mc:AlternateContent>
      </w:r>
    </w:p>
    <w:sdt>
      <w:sdtPr>
        <w:rPr>
          <w:lang w:val="en-GB"/>
        </w:rPr>
        <w:alias w:val="Onderzoek.Tractus anamnese.Ander risico-gedrag"/>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Beschrijvende diagnose</w:t>
      </w:r>
      <w:bookmarkEnd w:id="1"/>
    </w:p>
    <w:p w14:paraId="6C184AB7" w14:textId="19496CBC" w:rsidR="004861F5" w:rsidRDefault="004861F5" w:rsidP="004861F5">
      <w:pPr>
        <w:pStyle w:val="Kop3"/>
      </w:pPr>
      <w:r>
        <w:t xml:space="preserve">Context</w:t>
      </w:r>
    </w:p>
    <w:sdt>
      <w:sdtPr>
        <w:rPr>
          <w:lang w:val="en-GB"/>
        </w:rPr>
        <w:alias w:val="Bespreking.Beschrijvende diagnose.Contex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Geobserveerde symptomen</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1"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Beschrijf hier de tijdens het onderzoek geobserveerde afwijkingen zoals die bijvoorbeeld blijken bij het psychiatrisch onderzoek. Bespreek hier ook eventueel heteroanamnestische informatie en objectieve informatie uit andere bronnen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Beschrijf hier de tijdens het onderzoek geobserveerde afwijkingen zoals die bijvoorbeeld blijken bij het psychiatrisch onderzoek. Bespreek hier ook eventueel heteroanamnestische informatie en objectieve informatie uit andere bronnen</w:t>
                      </w:r>
                    </w:p>
                  </w:txbxContent>
                </v:textbox>
                <w10:anchorlock/>
              </v:roundrect>
            </w:pict>
          </mc:Fallback>
        </mc:AlternateContent>
      </w:r>
    </w:p>
    <w:sdt>
      <w:sdtPr>
        <w:rPr>
          <w:lang w:val="en-GB"/>
        </w:rPr>
        <w:alias w:val="Bespreking.Beschrijvende diagnose.Geobserveerde symptom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het toestandsbeeld</w:t>
      </w:r>
    </w:p>
    <w:sdt>
      <w:sdtPr>
        <w:rPr>
          <w:lang w:val="en-GB"/>
        </w:rPr>
        <w:alias w:val="Bespreking.Beschrijvende diagnose.Hypothese over het toestandsbeel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Classificerende diagnose</w:t>
      </w:r>
      <w:bookmarkEnd w:id="1"/>
    </w:p>
    <w:sdt>
      <w:sdtPr>
        <w:rPr>
          <w:lang w:val="en-GB"/>
        </w:rPr>
        <w:alias w:val="Bespreking Classificerende diagno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rPr>
          <w:lang w:val="en-GB"/>
        </w:rPr>
        <w:alias w:val="Bespreking DSM-5-T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Differentiaal diagnostische overwegingen</w:t>
      </w:r>
      <w:bookmarkEnd w:id="1"/>
    </w:p>
    <w:sdt>
      <w:sdtPr>
        <w:rPr>
          <w:lang w:val="en-GB"/>
        </w:rPr>
        <w:alias w:val="Bespreking Differentiaal diagnostische overwegingen"/>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Advies voor inzet van interventie</w:t>
      </w:r>
      <w:bookmarkEnd w:id="1"/>
    </w:p>
    <w:p w14:paraId="6C184AB7" w14:textId="19496CBC" w:rsidR="004861F5" w:rsidRDefault="004861F5" w:rsidP="004861F5">
      <w:pPr>
        <w:pStyle w:val="Kop3"/>
      </w:pPr>
      <w:r>
        <w:t xml:space="preserve">Belangrijkste focus voor interventie</w:t>
      </w:r>
    </w:p>
    <w:sdt>
      <w:sdtPr>
        <w:rPr>
          <w:lang w:val="en-GB"/>
        </w:rPr>
        <w:alias w:val="Bespreking.Advies voor inzet van interventie.Belangrijkste focus voor interven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Type interventie of behandeling</w:t>
      </w:r>
    </w:p>
    <w:sdt>
      <w:sdtPr>
        <w:rPr>
          <w:lang w:val="en-GB"/>
        </w:rPr>
        <w:alias w:val="Bespreking.Advies voor inzet van interventie.Type interventie of behand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Echelon op basis van complexiteit,ernst,comorbiditeit en risico's</w:t>
      </w:r>
    </w:p>
    <w:sdt>
      <w:sdtPr>
        <w:rPr>
          <w:lang w:val="en-GB"/>
        </w:rPr>
        <w:alias w:val="Bespreking.Advies voor inzet van interventie.Echelon op basis van complexiteit,ernst,comorbiditeit en risico'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Inschatting van de duur en intensiteit van interventie of behandeling</w:t>
      </w:r>
    </w:p>
    <w:sdt>
      <w:sdtPr>
        <w:rPr>
          <w:lang w:val="en-GB"/>
        </w:rPr>
        <w:alias w:val="Bespreking.Advies voor inzet van interventie.Inschatting van de duur en intensiteit van interventie of behand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Advies</w:t>
      </w:r>
    </w:p>
    <w:sdt>
      <w:sdtPr>
        <w:rPr>
          <w:lang w:val="en-GB"/>
        </w:rPr>
        <w:alias w:val="Bespreking.Advies voor inzet van interventie.Adv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1FFF7" w14:textId="77777777" w:rsidR="00B14D91" w:rsidRPr="000C3C18" w:rsidRDefault="00B14D91" w:rsidP="008965B0">
      <w:pPr>
        <w:spacing w:after="0" w:line="240" w:lineRule="auto"/>
      </w:pPr>
      <w:r w:rsidRPr="000C3C18">
        <w:separator/>
      </w:r>
    </w:p>
  </w:endnote>
  <w:endnote w:type="continuationSeparator" w:id="0">
    <w:p w14:paraId="7990F9A3" w14:textId="77777777" w:rsidR="00B14D91" w:rsidRPr="000C3C18" w:rsidRDefault="00B14D91" w:rsidP="008965B0">
      <w:pPr>
        <w:spacing w:after="0" w:line="240" w:lineRule="auto"/>
      </w:pPr>
      <w:r w:rsidRPr="000C3C18">
        <w:continuationSeparator/>
      </w:r>
    </w:p>
  </w:endnote>
  <w:endnote w:type="continuationNotice" w:id="1">
    <w:p w14:paraId="43A6816B" w14:textId="77777777" w:rsidR="00B14D91" w:rsidRDefault="00B14D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42181" w14:textId="77777777" w:rsidR="00B14D91" w:rsidRPr="000C3C18" w:rsidRDefault="00B14D91" w:rsidP="008965B0">
      <w:pPr>
        <w:spacing w:after="0" w:line="240" w:lineRule="auto"/>
      </w:pPr>
      <w:r w:rsidRPr="000C3C18">
        <w:separator/>
      </w:r>
    </w:p>
  </w:footnote>
  <w:footnote w:type="continuationSeparator" w:id="0">
    <w:p w14:paraId="4376B19F" w14:textId="77777777" w:rsidR="00B14D91" w:rsidRPr="000C3C18" w:rsidRDefault="00B14D91" w:rsidP="008965B0">
      <w:pPr>
        <w:spacing w:after="0" w:line="240" w:lineRule="auto"/>
      </w:pPr>
      <w:r w:rsidRPr="000C3C18">
        <w:continuationSeparator/>
      </w:r>
    </w:p>
  </w:footnote>
  <w:footnote w:type="continuationNotice" w:id="1">
    <w:p w14:paraId="0F33EC71" w14:textId="77777777" w:rsidR="00B14D91" w:rsidRDefault="00B14D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Interventieadvies</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9758D"/>
    <w:rsid w:val="006A4E0C"/>
    <w:rsid w:val="006B6787"/>
    <w:rsid w:val="006B6EC7"/>
    <w:rsid w:val="006B74E4"/>
    <w:rsid w:val="006D0BBA"/>
    <w:rsid w:val="006D5926"/>
    <w:rsid w:val="006D5DB1"/>
    <w:rsid w:val="006D7D78"/>
    <w:rsid w:val="006E1D23"/>
    <w:rsid w:val="006E1E73"/>
    <w:rsid w:val="006E7B7D"/>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4D91"/>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7702"/>
    <w:rsid w:val="009C6BAE"/>
    <w:rsid w:val="00A50DC9"/>
    <w:rsid w:val="00A77A1A"/>
    <w:rsid w:val="00AD48CC"/>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13F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377</Words>
  <Characters>2076</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16</cp:revision>
  <dcterms:created xsi:type="dcterms:W3CDTF">2025-06-26T12:37:00Z</dcterms:created>
  <dcterms:modified xsi:type="dcterms:W3CDTF">2025-07-07T16:38:00Z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