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Figure legends</w:t>
      </w:r>
    </w:p>
    <w:p>
      <w:pPr>
        <w:spacing w:after="120"/>
      </w:pPr>
      <w:r>
        <w:rPr>
          <w:b/>
        </w:rPr>
        <w:t xml:space="preserve">Figure 1. </w:t>
      </w:r>
      <w:r>
        <w:t>Case flow in the three spontaneous-reporting systems. FAERS releases were de-duplicated by case version; the ethambutol cohort was defined by any drug record naming the drug, and split by drug role. JADER and Canada Vigilance were analysed independently with the exposure definitions given in Table 1.</w:t>
      </w:r>
    </w:p>
    <w:p>
      <w:pPr>
        <w:spacing w:after="120"/>
      </w:pPr>
      <w:r>
        <w:rPr>
          <w:b/>
        </w:rPr>
        <w:t xml:space="preserve">Figure 2. </w:t>
      </w:r>
      <w:r>
        <w:t>The eleven ocular Standardised MedDRA Queries (narrow sets) in FAERS, ethambutol against all other de-duplicated reports. Points are reporting odds ratios with 95% confidence intervals on a logarithmic axis; the dashed line marks unity. Red, interval above unity; blue, interval below unity; grey, interval includes unity. The number of exposed cases is given at the right.</w:t>
      </w:r>
    </w:p>
    <w:p>
      <w:pPr>
        <w:spacing w:after="120"/>
      </w:pPr>
      <w:r>
        <w:rPr>
          <w:b/>
        </w:rPr>
        <w:t xml:space="preserve">Figure 3. </w:t>
      </w:r>
      <w:r>
        <w:t>Preferred terms within the optic-nerve query, alongside the pre-specified negative controls and the non-specific ocular comparators. Terms with fewer than three exposed cases are not plotted. Conventions as in Figure 2.</w:t>
      </w:r>
    </w:p>
    <w:p>
      <w:pPr>
        <w:spacing w:after="120"/>
      </w:pPr>
      <w:r>
        <w:rPr>
          <w:b/>
        </w:rPr>
        <w:t xml:space="preserve">Figure 4. </w:t>
      </w:r>
      <w:r>
        <w:t>Sensitivity of the optic-nerve estimate to exposure role and reporting period. The upper four rows compare the preferred term and the query under all-role and suspect-only exposure; the lower two split the cohort by receipt year at 2016. Conventions as in Figure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