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numPr>
          <w:ilvl w:val="0"/>
          <w:numId w:val="0"/>
        </w:numPr>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pStyle w:val="Heading2"/>
        <w:numPr>
          <w:ilvl w:val="0"/>
          <w:numId w:val="0"/>
        </w:numPr>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pStyle w:val="Heading2"/>
        <w:numPr>
          <w:ilvl w:val="0"/>
          <w:numId w:val="0"/>
        </w:numPr>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What the pattern supports is vigilance rather than a timetable: clinicians should ask about and watch for visual symptoms in people taking ethambutol and follow existing clinical guidance on monitoring. This study did not test any particular follow-up interval, and the 125-day median describes reports with complete dates, not the point at which damage usually begins.</w:t>
      </w:r>
    </w:p>
    <w:p>
      <w:pPr>
        <w:pStyle w:val="Heading2"/>
        <w:numPr>
          <w:ilvl w:val="0"/>
          <w:numId w:val="0"/>
        </w:numPr>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numPr>
          <w:ilvl w:val="0"/>
          <w:numId w:val="0"/>
        </w:numPr>
      </w:pPr>
      <w:r>
        <w:t>2. Methods</w:t>
      </w:r>
    </w:p>
    <w:p>
      <w:pPr>
        <w:pStyle w:val="Heading3"/>
        <w:numPr>
          <w:ilvl w:val="0"/>
          <w:numId w:val="0"/>
        </w:numPr>
      </w:pPr>
      <w:r>
        <w:t>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pStyle w:val="Heading3"/>
        <w:numPr>
          <w:ilvl w:val="0"/>
          <w:numId w:val="0"/>
        </w:numPr>
      </w:pPr>
      <w:r>
        <w:t>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pStyle w:val="Heading3"/>
        <w:numPr>
          <w:ilvl w:val="0"/>
          <w:numId w:val="0"/>
        </w:numPr>
      </w:pPr>
      <w:r>
        <w:t>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r>
        <w:rPr>
          <w:i/>
        </w:rPr>
        <w:t>[Figure 1 near here]</w:t>
      </w:r>
    </w:p>
    <w:p>
      <w:pPr>
        <w:pStyle w:val="Heading3"/>
        <w:numPr>
          <w:ilvl w:val="0"/>
          <w:numId w:val="0"/>
        </w:numPr>
      </w:pPr>
      <w:r>
        <w:t>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pStyle w:val="Heading3"/>
        <w:numPr>
          <w:ilvl w:val="0"/>
          <w:numId w:val="0"/>
        </w:numPr>
      </w:pPr>
      <w:r>
        <w:t>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pStyle w:val="Heading3"/>
        <w:numPr>
          <w:ilvl w:val="0"/>
          <w:numId w:val="0"/>
        </w:numPr>
      </w:pPr>
      <w:r>
        <w:t>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pStyle w:val="Heading3"/>
        <w:numPr>
          <w:ilvl w:val="0"/>
          <w:numId w:val="0"/>
        </w:numPr>
      </w:pPr>
      <w:r>
        <w:t>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pStyle w:val="Heading3"/>
        <w:numPr>
          <w:ilvl w:val="0"/>
          <w:numId w:val="0"/>
        </w:numPr>
      </w:pPr>
      <w:r>
        <w:t>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pStyle w:val="Heading3"/>
        <w:numPr>
          <w:ilvl w:val="0"/>
          <w:numId w:val="0"/>
        </w:numPr>
      </w:pPr>
      <w:r>
        <w:t>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pStyle w:val="Heading3"/>
        <w:numPr>
          <w:ilvl w:val="0"/>
          <w:numId w:val="0"/>
        </w:numPr>
      </w:pPr>
      <w:r>
        <w:t>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pStyle w:val="Heading3"/>
        <w:numPr>
          <w:ilvl w:val="0"/>
          <w:numId w:val="0"/>
        </w:numPr>
      </w:pPr>
      <w:r>
        <w:t>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v2.0-tads-2026-10-21</w:t>
      </w:r>
      <w:r>
        <w:t>, which identifies the commit from which the numbers, tables and figures in this manuscript were generated.</w:t>
      </w:r>
    </w:p>
    <w:p>
      <w:pPr>
        <w:pStyle w:val="Heading2"/>
        <w:numPr>
          <w:ilvl w:val="0"/>
          <w:numId w:val="0"/>
        </w:numPr>
      </w:pPr>
      <w:r>
        <w:t>3. Results</w:t>
      </w:r>
    </w:p>
    <w:p>
      <w:pPr>
        <w:pStyle w:val="Heading3"/>
        <w:numPr>
          <w:ilvl w:val="0"/>
          <w:numId w:val="0"/>
        </w:numPr>
      </w:pPr>
      <w:r>
        <w:t>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pStyle w:val="Heading3"/>
        <w:numPr>
          <w:ilvl w:val="0"/>
          <w:numId w:val="0"/>
        </w:numPr>
      </w:pPr>
      <w:r>
        <w:t>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the ratio describes the ordering rather than testing a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pStyle w:val="Heading3"/>
        <w:numPr>
          <w:ilvl w:val="0"/>
          <w:numId w:val="0"/>
        </w:numPr>
      </w:pPr>
      <w:r>
        <w:t>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pStyle w:val="Heading3"/>
        <w:numPr>
          <w:ilvl w:val="0"/>
          <w:numId w:val="0"/>
        </w:numPr>
      </w:pPr>
      <w:r>
        <w:t>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pStyle w:val="Heading3"/>
        <w:numPr>
          <w:ilvl w:val="0"/>
          <w:numId w:val="0"/>
        </w:numPr>
      </w:pPr>
      <w:r>
        <w:t>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pStyle w:val="Heading3"/>
        <w:numPr>
          <w:ilvl w:val="0"/>
          <w:numId w:val="0"/>
        </w:numPr>
      </w:pPr>
      <w:r>
        <w:t>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pStyle w:val="Heading3"/>
        <w:numPr>
          <w:ilvl w:val="0"/>
          <w:numId w:val="0"/>
        </w:numPr>
      </w:pPr>
      <w:r>
        <w:t>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rose 1.02 log2 and its targets (HMOX1 +0.98, GCLM +0.95, with TXNRD1, SRXN1, NQO1, SQSTM1 and FTH1) moved with it, seven of the ten significantly, mean +1.045. The autophagy receptors accumulated (SQSTM1 +1.42, MAP1LC3B +1.03; mean +0.797), compatible with an altered autophagy-associated response without establishing flux, and the respiratory-chain subunits fell (mean −0.272, four of twelve significant).</w:t>
      </w:r>
    </w:p>
    <w:p>
      <w:pPr>
        <w:jc w:val="both"/>
      </w:pPr>
      <w:r>
        <w:t>Two other accounts did not behave as predicted. The ferroptosis account predicts SLC7A11 and GPX4 falling; both rose, SLC7A11 by 3.80 log2, as did the iron-handling genes TFRC and FTH1, which that account also predicts. The zinc-chelation account was tested against an empirical reference, the TPEN-treated AC16 cardiomyocyte line (GSE318912): TPEN lowered metallothionein (−0.17) and raised the SLC39A importers (+0.33), whereas ethambutol raised metallothionein (+0.31) and left the importers unchanged (+0.04); the two fold-change vectors correlated at r = +0.07 across the 12,201 genes both measured, a correlation bounded by the different cell types and the unpaired design.</w:t>
      </w:r>
    </w:p>
    <w:p>
      <w:pPr>
        <w:jc w:val="both"/>
      </w:pPr>
      <w:r>
        <w:t>None of this establishes a mechanism in patients: the predictions were assembled from the literature after our data were examined, there is no protein measurement, no genotype and no glial compartment, and the concentration is far above therapeutic exposure. What it shows is that selected ferroptosis predictions were not reproduced here, which is weaker than a refutation and is reported as such.</w:t>
      </w:r>
    </w:p>
    <w:p>
      <w:pPr>
        <w:pStyle w:val="Heading2"/>
        <w:numPr>
          <w:ilvl w:val="0"/>
          <w:numId w:val="0"/>
        </w:numPr>
      </w:pPr>
      <w:r>
        <w:t>4. Discussion</w:t>
      </w:r>
    </w:p>
    <w:p>
      <w:pPr>
        <w:pStyle w:val="Heading3"/>
        <w:numPr>
          <w:ilvl w:val="0"/>
          <w:numId w:val="0"/>
        </w:numPr>
      </w:pPr>
      <w:r>
        <w:t>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terms with the largest numbers of exposed cases rather than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pStyle w:val="Heading3"/>
        <w:numPr>
          <w:ilvl w:val="0"/>
          <w:numId w:val="0"/>
        </w:numPr>
      </w:pPr>
      <w:r>
        <w:t>4.2 What this adds to previous work</w:t>
      </w:r>
    </w:p>
    <w:p>
      <w:pPr>
        <w:jc w:val="both"/>
      </w:pPr>
      <w:r>
        <w:t>That ethambutol is associated with optic neuropathy is not new, and its prominent ocular signal has been reported before [14]. The contribution here is the internal contrast. Previous pharmacovigilance analyses of these drugs reported signal counts aggregated to system organ class [14] or organised the ocular phenotype by organ-system grouping [15]; in either design a specific optic-nerve injury and a general increase in ocular reporting look alike. Testing the eleven ocular queries against one another, with the optic-nerve query nominated in advance and with pre-specified non-specific terms as controls, separates those two possibilities within the same reports. The optic-nerve signal appeared in all three systems, at different evidential levels.</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pStyle w:val="Heading3"/>
        <w:numPr>
          <w:ilvl w:val="0"/>
          <w:numId w:val="0"/>
        </w:numPr>
      </w:pPr>
      <w:r>
        <w:t>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not, however, make every bias common to all outcomes: the clinician who suspects ethambutol toxicity may code the optic-nerve diagnosis precisely and leave a visual complaint uncoded. The comparison narrows the range of explanations but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What the comparison supports is narrower than a ranking of ocular toxicity. The eleven queries are not independent: preferred terms belong to more than one of them, the background frequency of each condition differs in the underlying population, and the disease mix of the reports is not the same across queries. An ordering of odds ratios is therefore a description of the reporting signal, not a test that ethambutol affects one ocular structure more than another; no contrast between queries was tested. The controls bound the conclusion in both directions. The four negative-control terms did not show positive disproportionality signals, whereas the non-specific comparators were not uniformly null: eye pain was below unity, but vision blurred showed a modest elevation (1.50, 1.28–1.76). The vision-blurred signal, and the possibility of outcome-specific recognition and coding, mean that the internal contrast cannot establish anatomical specificity or exclude reporting bias. It also cannot exclude a true effect of the drug that is small relative to background reporting. Restriction to suspect-drug reports and the period split change the size of the estimate without changing its direction. The fixed-regimen analysis — rifampicin, isoniazid and pyrazinamide with versus without ethambutol — holds the background regimen constant but is a within-class reporting contrast, not a matched cohort: treatment duration, dose, disease severity and co-medication are not held constant, and the denominator is reports rather than treated patients. It rests on a small unexposed group and its interval includes unity, so it is reported for completeness rather than as evidence of a within-class effect.</w:t>
      </w:r>
    </w:p>
    <w:p>
      <w:pPr>
        <w:pStyle w:val="Heading3"/>
        <w:numPr>
          <w:ilvl w:val="0"/>
          <w:numId w:val="0"/>
        </w:numPr>
      </w:pPr>
      <w:r>
        <w:t>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govern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contributions from microglia, Müller glia or the retinal vasculature are invisible to it, and the predictions were assembled after the data were in hand, so the analysis can show that a predicted direction was not observed but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the data provide no consistent transcriptional support for the ferroptosis prediction under these conditions; they do not exclude ferroptosis, and they cannot, because transcript levels are not a flux measurement.</w:t>
      </w:r>
    </w:p>
    <w:p>
      <w:pPr>
        <w:pStyle w:val="Heading3"/>
        <w:numPr>
          <w:ilvl w:val="0"/>
          <w:numId w:val="0"/>
        </w:numPr>
      </w:pPr>
      <w:r>
        <w:t>4.5 Clinical and regulatory implications</w:t>
      </w:r>
    </w:p>
    <w:p>
      <w:pPr>
        <w:jc w:val="both"/>
      </w:pPr>
      <w:r>
        <w:t>A signal of this shape identifies where to look; it is a reason for vigilance, not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 Two further limits apply to these dates. Reports with an incomplete date pair are excluded, and their exclusion is unlikely to be random: a report that records both the start of therapy and the date of the event is one where the timing mattered to the reporter, which probably enriches the subset for events the reporter had already connected to the drug.</w:t>
      </w:r>
    </w:p>
    <w:p>
      <w:pPr>
        <w:jc w:val="both"/>
      </w:pPr>
      <w:r>
        <w:t>For regulators and those who build pharmacovigilance workflows, the transferable point is methodological: pre-specified MedDRA queries and ocular comparators give a structured assessment of whether disproportionality is uniform across ocular outcomes, without excluding outcome-specific recognition and coding. The design applies to any drug with a suspected site-specific toxicity and needs no data beyond what reporting systems publish.</w:t>
      </w:r>
    </w:p>
    <w:p>
      <w:pPr>
        <w:jc w:val="both"/>
      </w:pPr>
      <w:r>
        <w:t>Exposure identification carries its own limits. FAERS exposure rests on a single token in the drug-name fields, and brand and salt variants were not added to it, so a report naming only a brand product is missed; the three systems also identify exposure differently, from a drug-name substring, a suspect-drug code and an ingredient table. Two consequences follow: the ethambutol cohort is probably incomplete in a way that varies by system, and the cross-database results should be read as agreement in direction and pattern rather than as comparable odds ratios. 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pStyle w:val="Heading3"/>
        <w:numPr>
          <w:ilvl w:val="0"/>
          <w:numId w:val="0"/>
        </w:numPr>
      </w:pPr>
      <w:r>
        <w:t>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numPr>
          <w:ilvl w:val="0"/>
          <w:numId w:val="0"/>
        </w:numPr>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https://github.com/Bowen2485/ethambutol-ocular-toxicity/tree/v2.0-tads-2026-10-21 (release tag </w:t>
      </w:r>
      <w:r>
        <w:rPr>
          <w:rFonts w:ascii="Consolas" w:hAnsi="Consolas"/>
          <w:sz w:val="19"/>
        </w:rPr>
        <w:t>v2.0-tads-2026-10-21</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numPr>
          <w:ilvl w:val="0"/>
          <w:numId w:val="0"/>
        </w:numPr>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numPr>
          <w:ilvl w:val="0"/>
          <w:numId w:val="0"/>
        </w:numPr>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numPr>
          <w:ilvl w:val="0"/>
          <w:numId w:val="0"/>
        </w:numPr>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75049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750492"/>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2865938"/>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2865938"/>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3505338"/>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3505338"/>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2483155"/>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2483155"/>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