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a whole-database pharmacovigilance analysis of 20.3 million FAERS cases integrated with network toxicology, molecular docking and genetic interrogation of the optic-nerve phenotype</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a whole-database pharmacovigilance analysis of 20.3 million FAERS cases with network toxicology, molecular docking and genetic interrogation of the optic-nerve phenotype</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remains a first-line antitubercular agent, and its ocular toxicity — an optic neuropathy that can be irreversible — is the toxicity that most limits its use. Estimates of its frequency range from 0.28% to 6.5% depending on how cases are ascertained, the mechanistic basis is incompletely understood, and no pharmacovigilance analysis has yet profiled the full ocular phenotype against the other first-line antitubercular drugs in the whole FDA Adverse Event Reporting System (FAERS).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ingested all 90 FDA FAERS quarterly ASCII releases</w:t>
      </w:r>
    </w:p>
    <w:p>
      <w:pPr>
        <w:spacing w:after="120" w:line="360" w:lineRule="auto"/>
        <w:jc w:val="both"/>
      </w:pPr>
      <w:r>
        <w:rPr>
          <w:rFonts w:ascii="Times New Roman" w:hAnsi="Times New Roman" w:eastAsia="Times New Roman"/>
          <w:b w:val="0"/>
          <w:i w:val="0"/>
          <w:sz w:val="24"/>
        </w:rPr>
        <w:t>(2004Q1–2026Q2; 89 usable) and de-duplicated 24,389,966 submitted reports to</w:t>
      </w:r>
    </w:p>
    <w:p>
      <w:pPr>
        <w:spacing w:after="120" w:line="360" w:lineRule="auto"/>
        <w:jc w:val="both"/>
      </w:pPr>
      <w:r>
        <w:rPr>
          <w:rFonts w:ascii="Times New Roman" w:hAnsi="Times New Roman" w:eastAsia="Times New Roman"/>
          <w:b w:val="0"/>
          <w:i w:val="0"/>
          <w:sz w:val="24"/>
        </w:rPr>
        <w:t>20,328,568 unique cases using the FDA case-version protocol. Reporting odds ratios</w:t>
      </w:r>
    </w:p>
    <w:p>
      <w:pPr>
        <w:spacing w:after="120" w:line="360" w:lineRule="auto"/>
        <w:jc w:val="both"/>
      </w:pPr>
      <w:r>
        <w:rPr>
          <w:rFonts w:ascii="Times New Roman" w:hAnsi="Times New Roman" w:eastAsia="Times New Roman"/>
          <w:b w:val="0"/>
          <w:i w:val="0"/>
          <w:sz w:val="24"/>
        </w:rPr>
        <w:t>(ROR), proportional reporting ratios (PRR), Bayesian information component lower</w:t>
      </w:r>
    </w:p>
    <w:p>
      <w:pPr>
        <w:spacing w:after="120" w:line="360" w:lineRule="auto"/>
        <w:jc w:val="both"/>
      </w:pPr>
      <w:r>
        <w:rPr>
          <w:rFonts w:ascii="Times New Roman" w:hAnsi="Times New Roman" w:eastAsia="Times New Roman"/>
          <w:b w:val="0"/>
          <w:i w:val="0"/>
          <w:sz w:val="24"/>
        </w:rPr>
        <w:t>bounds (IC025) and empirical Bayes geometric means (EBGM05) were computed for 178</w:t>
      </w:r>
    </w:p>
    <w:p>
      <w:pPr>
        <w:spacing w:after="120" w:line="360" w:lineRule="auto"/>
        <w:jc w:val="both"/>
      </w:pPr>
      <w:r>
        <w:rPr>
          <w:rFonts w:ascii="Times New Roman" w:hAnsi="Times New Roman" w:eastAsia="Times New Roman"/>
          <w:b w:val="0"/>
          <w:i w:val="0"/>
          <w:sz w:val="24"/>
        </w:rPr>
        <w:t>ocular MedDRA preferred terms - a curated panel plus every ocular-looking term found</w:t>
      </w:r>
    </w:p>
    <w:p>
      <w:pPr>
        <w:spacing w:after="120" w:line="360" w:lineRule="auto"/>
        <w:jc w:val="both"/>
      </w:pPr>
      <w:r>
        <w:rPr>
          <w:rFonts w:ascii="Times New Roman" w:hAnsi="Times New Roman" w:eastAsia="Times New Roman"/>
          <w:b w:val="0"/>
          <w:i w:val="0"/>
          <w:sz w:val="24"/>
        </w:rPr>
        <w:t>by an unbiased pass over the ethambutol reports - across ethambutol and five</w:t>
      </w:r>
    </w:p>
    <w:p>
      <w:pPr>
        <w:spacing w:after="120" w:line="360" w:lineRule="auto"/>
        <w:jc w:val="both"/>
      </w:pPr>
      <w:r>
        <w:rPr>
          <w:rFonts w:ascii="Times New Roman" w:hAnsi="Times New Roman" w:eastAsia="Times New Roman"/>
          <w:b w:val="0"/>
          <w:i w:val="0"/>
          <w:sz w:val="24"/>
        </w:rPr>
        <w:t>comparator antitubercular drugs, with Benjamini-Hochberg control and four</w:t>
      </w:r>
    </w:p>
    <w:p>
      <w:pPr>
        <w:spacing w:after="120" w:line="360" w:lineRule="auto"/>
        <w:jc w:val="both"/>
      </w:pPr>
      <w:r>
        <w:rPr>
          <w:rFonts w:ascii="Times New Roman" w:hAnsi="Times New Roman" w:eastAsia="Times New Roman"/>
          <w:b w:val="0"/>
          <w:i w:val="0"/>
          <w:sz w:val="24"/>
        </w:rPr>
        <w:t>pre-specified robustness specifications. We characterised time to ocular onset,</w:t>
      </w:r>
    </w:p>
    <w:p>
      <w:pPr>
        <w:spacing w:after="120" w:line="360" w:lineRule="auto"/>
        <w:jc w:val="both"/>
      </w:pPr>
      <w:r>
        <w:rPr>
          <w:rFonts w:ascii="Times New Roman" w:hAnsi="Times New Roman" w:eastAsia="Times New Roman"/>
          <w:b w:val="0"/>
          <w:i w:val="0"/>
          <w:sz w:val="24"/>
        </w:rPr>
        <w:t>multivariable predictors and report completeness within the ethambutol cases, then</w:t>
      </w:r>
    </w:p>
    <w:p>
      <w:pPr>
        <w:spacing w:after="120" w:line="360" w:lineRule="auto"/>
        <w:jc w:val="both"/>
      </w:pPr>
      <w:r>
        <w:rPr>
          <w:rFonts w:ascii="Times New Roman" w:hAnsi="Times New Roman" w:eastAsia="Times New Roman"/>
          <w:b w:val="0"/>
          <w:i w:val="0"/>
          <w:sz w:val="24"/>
        </w:rPr>
        <w:t>built a tiered mechanism network from a full-text mine of 3,034 Europe PMC records,</w:t>
      </w:r>
    </w:p>
    <w:p>
      <w:pPr>
        <w:spacing w:after="120" w:line="360" w:lineRule="auto"/>
        <w:jc w:val="both"/>
      </w:pPr>
      <w:r>
        <w:rPr>
          <w:rFonts w:ascii="Times New Roman" w:hAnsi="Times New Roman" w:eastAsia="Times New Roman"/>
          <w:b w:val="0"/>
          <w:i w:val="0"/>
          <w:sz w:val="24"/>
        </w:rPr>
        <w:t>Open Targets optic-nerve phenotype associations and STRING protein-protein</w:t>
      </w:r>
    </w:p>
    <w:p>
      <w:pPr>
        <w:spacing w:after="120" w:line="360" w:lineRule="auto"/>
        <w:jc w:val="both"/>
      </w:pPr>
      <w:r>
        <w:rPr>
          <w:rFonts w:ascii="Times New Roman" w:hAnsi="Times New Roman" w:eastAsia="Times New Roman"/>
          <w:b w:val="0"/>
          <w:i w:val="0"/>
          <w:sz w:val="24"/>
        </w:rPr>
        <w:t>interactions, tested functional enrichment with g:Profiler, docked ethambutol</w:t>
      </w:r>
    </w:p>
    <w:p>
      <w:pPr>
        <w:spacing w:after="120" w:line="360" w:lineRule="auto"/>
        <w:jc w:val="both"/>
      </w:pPr>
      <w:r>
        <w:rPr>
          <w:rFonts w:ascii="Times New Roman" w:hAnsi="Times New Roman" w:eastAsia="Times New Roman"/>
          <w:b w:val="0"/>
          <w:i w:val="0"/>
          <w:sz w:val="24"/>
        </w:rPr>
        <w:t>against the hub panel with AutoDock Vina, and interrogated the implicated loci</w:t>
      </w:r>
    </w:p>
    <w:p>
      <w:pPr>
        <w:spacing w:after="120" w:line="360" w:lineRule="auto"/>
        <w:jc w:val="both"/>
      </w:pPr>
      <w:r>
        <w:rPr>
          <w:rFonts w:ascii="Times New Roman" w:hAnsi="Times New Roman" w:eastAsia="Times New Roman"/>
          <w:b w:val="0"/>
          <w:i w:val="0"/>
          <w:sz w:val="24"/>
        </w:rPr>
        <w:t>against FinnGen R12 optic-nerve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w:t>
      </w:r>
    </w:p>
    <w:p>
      <w:pPr>
        <w:spacing w:after="120" w:line="360" w:lineRule="auto"/>
        <w:jc w:val="both"/>
      </w:pPr>
      <w:r>
        <w:rPr>
          <w:rFonts w:ascii="Times New Roman" w:hAnsi="Times New Roman" w:eastAsia="Times New Roman"/>
          <w:b w:val="0"/>
          <w:i w:val="0"/>
          <w:sz w:val="24"/>
        </w:rPr>
        <w:t>reported an ocular event and 475 (3.44%) an optic-nerve event. Of 152 testable</w:t>
      </w:r>
    </w:p>
    <w:p>
      <w:pPr>
        <w:spacing w:after="120" w:line="360" w:lineRule="auto"/>
        <w:jc w:val="both"/>
      </w:pPr>
      <w:r>
        <w:rPr>
          <w:rFonts w:ascii="Times New Roman" w:hAnsi="Times New Roman" w:eastAsia="Times New Roman"/>
          <w:b w:val="0"/>
          <w:i w:val="0"/>
          <w:sz w:val="24"/>
        </w:rPr>
        <w:t>ocular terms, 45 met the strict signal criteria. Within the antitubercular class, optic</w:t>
      </w:r>
    </w:p>
    <w:p>
      <w:pPr>
        <w:spacing w:after="120" w:line="360" w:lineRule="auto"/>
        <w:jc w:val="both"/>
      </w:pPr>
      <w:r>
        <w:rPr>
          <w:rFonts w:ascii="Times New Roman" w:hAnsi="Times New Roman" w:eastAsia="Times New Roman"/>
          <w:b w:val="0"/>
          <w:i w:val="0"/>
          <w:sz w:val="24"/>
        </w:rPr>
        <w:t>neuropathy gave ethambutol an ROR of 6.47</w:t>
      </w:r>
    </w:p>
    <w:p>
      <w:pPr>
        <w:spacing w:after="120" w:line="360" w:lineRule="auto"/>
        <w:jc w:val="both"/>
      </w:pPr>
      <w:r>
        <w:rPr>
          <w:rFonts w:ascii="Times New Roman" w:hAnsi="Times New Roman" w:eastAsia="Times New Roman"/>
          <w:b w:val="0"/>
          <w:i w:val="0"/>
          <w:sz w:val="24"/>
        </w:rPr>
        <w:t>(95% CI 5.38-7.79;</w:t>
      </w:r>
    </w:p>
    <w:p>
      <w:pPr>
        <w:spacing w:after="120" w:line="360" w:lineRule="auto"/>
        <w:jc w:val="both"/>
      </w:pPr>
      <w:r>
        <w:rPr>
          <w:rFonts w:ascii="Times New Roman" w:hAnsi="Times New Roman" w:eastAsia="Times New Roman"/>
          <w:b w:val="0"/>
          <w:i w:val="0"/>
          <w:sz w:val="24"/>
        </w:rPr>
        <w:t>171 cases), above the drugs given in the same regimen -</w:t>
      </w:r>
    </w:p>
    <w:p>
      <w:pPr>
        <w:spacing w:after="120" w:line="360" w:lineRule="auto"/>
        <w:jc w:val="both"/>
      </w:pPr>
      <w:r>
        <w:rPr>
          <w:rFonts w:ascii="Times New Roman" w:hAnsi="Times New Roman" w:eastAsia="Times New Roman"/>
          <w:b w:val="0"/>
          <w:i w:val="0"/>
          <w:sz w:val="24"/>
        </w:rPr>
        <w:t>isoniazid 1.47, rifampicin 2.20, pyrazinamide</w:t>
      </w:r>
    </w:p>
    <w:p>
      <w:pPr>
        <w:spacing w:after="120" w:line="360" w:lineRule="auto"/>
        <w:jc w:val="both"/>
      </w:pPr>
      <w:r>
        <w:rPr>
          <w:rFonts w:ascii="Times New Roman" w:hAnsi="Times New Roman" w:eastAsia="Times New Roman"/>
          <w:b w:val="0"/>
          <w:i w:val="0"/>
          <w:sz w:val="24"/>
        </w:rPr>
        <w:t>2.87 - but 6th of 18 overall, below several</w:t>
      </w:r>
    </w:p>
    <w:p>
      <w:pPr>
        <w:spacing w:after="120" w:line="360" w:lineRule="auto"/>
        <w:jc w:val="both"/>
      </w:pPr>
      <w:r>
        <w:rPr>
          <w:rFonts w:ascii="Times New Roman" w:hAnsi="Times New Roman" w:eastAsia="Times New Roman"/>
          <w:b w:val="0"/>
          <w:i w:val="0"/>
          <w:sz w:val="24"/>
        </w:rPr>
        <w:t>second-line agents used for drug-resistant disease, a comparison confounded by</w:t>
      </w:r>
    </w:p>
    <w:p>
      <w:pPr>
        <w:spacing w:after="120" w:line="360" w:lineRule="auto"/>
        <w:jc w:val="both"/>
      </w:pPr>
      <w:r>
        <w:rPr>
          <w:rFonts w:ascii="Times New Roman" w:hAnsi="Times New Roman" w:eastAsia="Times New Roman"/>
          <w:b w:val="0"/>
          <w:i w:val="0"/>
          <w:sz w:val="24"/>
        </w:rPr>
        <w:t>indication severity. The most distinctive term in ethambutol's profile was</w:t>
      </w:r>
    </w:p>
    <w:p>
      <w:pPr>
        <w:spacing w:after="120" w:line="360" w:lineRule="auto"/>
        <w:jc w:val="both"/>
      </w:pPr>
      <w:r>
        <w:rPr>
          <w:rFonts w:ascii="Times New Roman" w:hAnsi="Times New Roman" w:eastAsia="Times New Roman"/>
          <w:b w:val="0"/>
          <w:i w:val="0"/>
          <w:sz w:val="24"/>
        </w:rPr>
        <w:t>dyschromatopsia (ROR 13.14, 95% CI</w:t>
      </w:r>
    </w:p>
    <w:p>
      <w:pPr>
        <w:spacing w:after="120" w:line="360" w:lineRule="auto"/>
        <w:jc w:val="both"/>
      </w:pPr>
      <w:r>
        <w:rPr>
          <w:rFonts w:ascii="Times New Roman" w:hAnsi="Times New Roman" w:eastAsia="Times New Roman"/>
          <w:b w:val="0"/>
          <w:i w:val="0"/>
          <w:sz w:val="24"/>
        </w:rPr>
        <w:t>7.51-23.02), which</w:t>
      </w:r>
    </w:p>
    <w:p>
      <w:pPr>
        <w:spacing w:after="120" w:line="360" w:lineRule="auto"/>
        <w:jc w:val="both"/>
      </w:pPr>
      <w:r>
        <w:rPr>
          <w:rFonts w:ascii="Times New Roman" w:hAnsi="Times New Roman" w:eastAsia="Times New Roman"/>
          <w:b w:val="0"/>
          <w:i w:val="0"/>
          <w:sz w:val="24"/>
        </w:rPr>
        <w:t>exceeded its optic-neuropathy ratio and matches the clinical hallmark of the</w:t>
      </w:r>
    </w:p>
    <w:p>
      <w:pPr>
        <w:spacing w:after="120" w:line="360" w:lineRule="auto"/>
        <w:jc w:val="both"/>
      </w:pPr>
      <w:r>
        <w:rPr>
          <w:rFonts w:ascii="Times New Roman" w:hAnsi="Times New Roman" w:eastAsia="Times New Roman"/>
          <w:b w:val="0"/>
          <w:i w:val="0"/>
          <w:sz w:val="24"/>
        </w:rPr>
        <w:t>condition. Not one non-specific ocular complaint formed a signal in any comparison:</w:t>
      </w:r>
    </w:p>
    <w:p>
      <w:pPr>
        <w:spacing w:after="120" w:line="360" w:lineRule="auto"/>
        <w:jc w:val="both"/>
      </w:pPr>
      <w:r>
        <w:rPr>
          <w:rFonts w:ascii="Times New Roman" w:hAnsi="Times New Roman" w:eastAsia="Times New Roman"/>
          <w:b w:val="0"/>
          <w:i w:val="0"/>
          <w:sz w:val="24"/>
        </w:rPr>
        <w:t>vision blurred 1.15, cataract 0.81,</w:t>
      </w:r>
    </w:p>
    <w:p>
      <w:pPr>
        <w:spacing w:after="120" w:line="360" w:lineRule="auto"/>
        <w:jc w:val="both"/>
      </w:pPr>
      <w:r>
        <w:rPr>
          <w:rFonts w:ascii="Times New Roman" w:hAnsi="Times New Roman" w:eastAsia="Times New Roman"/>
          <w:b w:val="0"/>
          <w:i w:val="0"/>
          <w:sz w:val="24"/>
        </w:rPr>
        <w:t>dry eye 0.35, eye pain 0.32, glaucoma</w:t>
      </w:r>
    </w:p>
    <w:p>
      <w:pPr>
        <w:spacing w:after="120" w:line="360" w:lineRule="auto"/>
        <w:jc w:val="both"/>
      </w:pPr>
      <w:r>
        <w:rPr>
          <w:rFonts w:ascii="Times New Roman" w:hAnsi="Times New Roman" w:eastAsia="Times New Roman"/>
          <w:b w:val="0"/>
          <w:i w:val="0"/>
          <w:sz w:val="24"/>
        </w:rPr>
        <w:t>0.18, ocular hyperaemia 0.18. All</w:t>
      </w:r>
    </w:p>
    <w:p>
      <w:pPr>
        <w:spacing w:after="120" w:line="360" w:lineRule="auto"/>
        <w:jc w:val="both"/>
      </w:pPr>
      <w:r>
        <w:rPr>
          <w:rFonts w:ascii="Times New Roman" w:hAnsi="Times New Roman" w:eastAsia="Times New Roman"/>
          <w:b w:val="0"/>
          <w:i w:val="0"/>
          <w:sz w:val="24"/>
        </w:rPr>
        <w:t>optic-nerve signals survived four robustness specifications, including a comparator</w:t>
      </w:r>
    </w:p>
    <w:p>
      <w:pPr>
        <w:spacing w:after="120" w:line="360" w:lineRule="auto"/>
        <w:jc w:val="both"/>
      </w:pPr>
      <w:r>
        <w:rPr>
          <w:rFonts w:ascii="Times New Roman" w:hAnsi="Times New Roman" w:eastAsia="Times New Roman"/>
          <w:b w:val="0"/>
          <w:i w:val="0"/>
          <w:sz w:val="24"/>
        </w:rPr>
        <w:t>denominator restricted to anti-tuberculosis reports, where optic neuropathy retained</w:t>
      </w:r>
    </w:p>
    <w:p>
      <w:pPr>
        <w:spacing w:after="120" w:line="360" w:lineRule="auto"/>
        <w:jc w:val="both"/>
      </w:pPr>
      <w:r>
        <w:rPr>
          <w:rFonts w:ascii="Times New Roman" w:hAnsi="Times New Roman" w:eastAsia="Times New Roman"/>
          <w:b w:val="0"/>
          <w:i w:val="0"/>
          <w:sz w:val="24"/>
        </w:rPr>
        <w:t>an ROR of 7.64 (95% CI 5.24-11.13). Splitting the database by receipt year reproduced</w:t>
      </w:r>
    </w:p>
    <w:p>
      <w:pPr>
        <w:spacing w:after="120" w:line="360" w:lineRule="auto"/>
        <w:jc w:val="both"/>
      </w:pPr>
      <w:r>
        <w:rPr>
          <w:rFonts w:ascii="Times New Roman" w:hAnsi="Times New Roman" w:eastAsia="Times New Roman"/>
          <w:b w:val="0"/>
          <w:i w:val="0"/>
          <w:sz w:val="24"/>
        </w:rPr>
        <w:t>the signal independently in both periods (optic neuropathy ROR 81.9 for 2004-2016 and</w:t>
      </w:r>
    </w:p>
    <w:p>
      <w:pPr>
        <w:spacing w:after="120" w:line="360" w:lineRule="auto"/>
        <w:jc w:val="both"/>
      </w:pPr>
      <w:r>
        <w:rPr>
          <w:rFonts w:ascii="Times New Roman" w:hAnsi="Times New Roman" w:eastAsia="Times New Roman"/>
          <w:b w:val="0"/>
          <w:i w:val="0"/>
          <w:sz w:val="24"/>
        </w:rPr>
        <w:t>86.9 for 2017-2026, negative controls null in both), so the association is not</w:t>
      </w:r>
    </w:p>
    <w:p>
      <w:pPr>
        <w:spacing w:after="120" w:line="360" w:lineRule="auto"/>
        <w:jc w:val="both"/>
      </w:pPr>
      <w:r>
        <w:rPr>
          <w:rFonts w:ascii="Times New Roman" w:hAnsi="Times New Roman" w:eastAsia="Times New Roman"/>
          <w:b w:val="0"/>
          <w:i w:val="0"/>
          <w:sz w:val="24"/>
        </w:rPr>
        <w:t>attributable to a single reporting era. **The same pattern was reproduced in JADER, the</w:t>
      </w:r>
    </w:p>
    <w:p>
      <w:pPr>
        <w:spacing w:after="120" w:line="360" w:lineRule="auto"/>
        <w:jc w:val="both"/>
      </w:pPr>
      <w:r>
        <w:rPr>
          <w:rFonts w:ascii="Times New Roman" w:hAnsi="Times New Roman" w:eastAsia="Times New Roman"/>
          <w:b w:val="0"/>
          <w:i w:val="0"/>
          <w:sz w:val="24"/>
        </w:rPr>
        <w:t>independent Japanese database (1,054,239 cases): optic neuropathy ROR 571.0, toxic optic</w:t>
      </w:r>
    </w:p>
    <w:p>
      <w:pPr>
        <w:spacing w:after="120" w:line="360" w:lineRule="auto"/>
        <w:jc w:val="both"/>
      </w:pPr>
      <w:r>
        <w:rPr>
          <w:rFonts w:ascii="Times New Roman" w:hAnsi="Times New Roman" w:eastAsia="Times New Roman"/>
          <w:b w:val="0"/>
          <w:i w:val="0"/>
          <w:sz w:val="24"/>
        </w:rPr>
        <w:t>neuropathy 864.6, with cataract, glaucoma and dry eye all null.** Median time from starting ethambutol to an</w:t>
      </w:r>
    </w:p>
    <w:p>
      <w:pPr>
        <w:spacing w:after="120" w:line="360" w:lineRule="auto"/>
        <w:jc w:val="both"/>
      </w:pPr>
      <w:r>
        <w:rPr>
          <w:rFonts w:ascii="Times New Roman" w:hAnsi="Times New Roman" w:eastAsia="Times New Roman"/>
          <w:b w:val="0"/>
          <w:i w:val="0"/>
          <w:sz w:val="24"/>
        </w:rPr>
        <w:t>optic-nerve event was 125 days (IQR 63-293) versus 30 days (IQR 9-85) for non-ocular</w:t>
      </w:r>
    </w:p>
    <w:p>
      <w:pPr>
        <w:spacing w:after="120" w:line="360" w:lineRule="auto"/>
        <w:jc w:val="both"/>
      </w:pPr>
      <w:r>
        <w:rPr>
          <w:rFonts w:ascii="Times New Roman" w:hAnsi="Times New Roman" w:eastAsia="Times New Roman"/>
          <w:b w:val="0"/>
          <w:i w:val="0"/>
          <w:sz w:val="24"/>
        </w:rPr>
        <w:t>events in the same reports. Each additional year of age raised the odds of an ocular</w:t>
      </w:r>
    </w:p>
    <w:p>
      <w:pPr>
        <w:spacing w:after="120" w:line="360" w:lineRule="auto"/>
        <w:jc w:val="both"/>
      </w:pPr>
      <w:r>
        <w:rPr>
          <w:rFonts w:ascii="Times New Roman" w:hAnsi="Times New Roman" w:eastAsia="Times New Roman"/>
          <w:b w:val="0"/>
          <w:i w:val="0"/>
          <w:sz w:val="24"/>
        </w:rPr>
        <w:t>event (adjusted OR 1.009, 95% CI 1.005-1.012), as did female sex (1.378,</w:t>
      </w:r>
    </w:p>
    <w:p>
      <w:pPr>
        <w:spacing w:after="120" w:line="360" w:lineRule="auto"/>
        <w:jc w:val="both"/>
      </w:pPr>
      <w:r>
        <w:rPr>
          <w:rFonts w:ascii="Times New Roman" w:hAnsi="Times New Roman" w:eastAsia="Times New Roman"/>
          <w:b w:val="0"/>
          <w:i w:val="0"/>
          <w:sz w:val="24"/>
        </w:rPr>
        <w:t>1.196-1.588); a regional coefficient for Europe (1.358, 1.151-1.601) is reported but</w:t>
      </w:r>
    </w:p>
    <w:p>
      <w:pPr>
        <w:spacing w:after="120" w:line="360" w:lineRule="auto"/>
        <w:jc w:val="both"/>
      </w:pPr>
      <w:r>
        <w:rPr>
          <w:rFonts w:ascii="Times New Roman" w:hAnsi="Times New Roman" w:eastAsia="Times New Roman"/>
          <w:b w:val="0"/>
          <w:i w:val="0"/>
          <w:sz w:val="24"/>
        </w:rPr>
        <w:t>not interpreted, because attaching a tuberculosis burden denominator shows that FAERS</w:t>
      </w:r>
    </w:p>
    <w:p>
      <w:pPr>
        <w:spacing w:after="120" w:line="360" w:lineRule="auto"/>
        <w:jc w:val="both"/>
      </w:pPr>
      <w:r>
        <w:rPr>
          <w:rFonts w:ascii="Times New Roman" w:hAnsi="Times New Roman" w:eastAsia="Times New Roman"/>
          <w:b w:val="0"/>
          <w:i w:val="0"/>
          <w:sz w:val="24"/>
        </w:rPr>
        <w:t>country counts measure national reporting intensity rather than patient numbers</w:t>
      </w:r>
    </w:p>
    <w:p>
      <w:pPr>
        <w:spacing w:after="120" w:line="360" w:lineRule="auto"/>
        <w:jc w:val="both"/>
      </w:pPr>
      <w:r>
        <w:rPr>
          <w:rFonts w:ascii="Times New Roman" w:hAnsi="Times New Roman" w:eastAsia="Times New Roman"/>
          <w:b w:val="0"/>
          <w:i w:val="0"/>
          <w:sz w:val="24"/>
        </w:rPr>
        <w:t>(reports per unit of burden span three orders of magnitude and are unrelated to burden,</w:t>
      </w:r>
    </w:p>
    <w:p>
      <w:pPr>
        <w:spacing w:after="120" w:line="360" w:lineRule="auto"/>
        <w:jc w:val="both"/>
      </w:pPr>
      <w:r>
        <w:rPr>
          <w:rFonts w:ascii="Times New Roman" w:hAnsi="Times New Roman" w:eastAsia="Times New Roman"/>
          <w:b w:val="0"/>
          <w:i w:val="0"/>
          <w:sz w:val="24"/>
        </w:rPr>
        <w:t>Spearman rho = -0.14). Report completeness was</w:t>
      </w:r>
    </w:p>
    <w:p>
      <w:pPr>
        <w:spacing w:after="120" w:line="360" w:lineRule="auto"/>
        <w:jc w:val="both"/>
      </w:pPr>
      <w:r>
        <w:rPr>
          <w:rFonts w:ascii="Times New Roman" w:hAnsi="Times New Roman" w:eastAsia="Times New Roman"/>
          <w:b w:val="0"/>
          <w:i w:val="0"/>
          <w:sz w:val="24"/>
        </w:rPr>
        <w:t>high for interpretive fields but low for exposure fields: only 27.8% of</w:t>
      </w:r>
    </w:p>
    <w:p>
      <w:pPr>
        <w:spacing w:after="120" w:line="360" w:lineRule="auto"/>
        <w:jc w:val="both"/>
      </w:pPr>
      <w:r>
        <w:rPr>
          <w:rFonts w:ascii="Times New Roman" w:hAnsi="Times New Roman" w:eastAsia="Times New Roman"/>
          <w:b w:val="0"/>
          <w:i w:val="0"/>
          <w:sz w:val="24"/>
        </w:rPr>
        <w:t>optic-nerve-spectrum cases carried both age, sex and a therapy start date, and daily</w:t>
      </w:r>
    </w:p>
    <w:p>
      <w:pPr>
        <w:spacing w:after="120" w:line="360" w:lineRule="auto"/>
        <w:jc w:val="both"/>
      </w:pPr>
      <w:r>
        <w:rPr>
          <w:rFonts w:ascii="Times New Roman" w:hAnsi="Times New Roman" w:eastAsia="Times New Roman"/>
          <w:b w:val="0"/>
          <w:i w:val="0"/>
          <w:sz w:val="24"/>
        </w:rPr>
        <w:t>dose did not predict the optic-nerve outcome once exposure duration was accounted for</w:t>
      </w:r>
    </w:p>
    <w:p>
      <w:pPr>
        <w:spacing w:after="120" w:line="360" w:lineRule="auto"/>
        <w:jc w:val="both"/>
      </w:pPr>
      <w:r>
        <w:rPr>
          <w:rFonts w:ascii="Times New Roman" w:hAnsi="Times New Roman" w:eastAsia="Times New Roman"/>
          <w:b w:val="0"/>
          <w:i w:val="0"/>
          <w:sz w:val="24"/>
        </w:rPr>
        <w:t>(likelihood-ratio P = 0.55). Open Targets contains no human mechanism of action for</w:t>
      </w:r>
    </w:p>
    <w:p>
      <w:pPr>
        <w:spacing w:after="120" w:line="360" w:lineRule="auto"/>
        <w:jc w:val="both"/>
      </w:pPr>
      <w:r>
        <w:rPr>
          <w:rFonts w:ascii="Times New Roman" w:hAnsi="Times New Roman" w:eastAsia="Times New Roman"/>
          <w:b w:val="0"/>
          <w:i w:val="0"/>
          <w:sz w:val="24"/>
        </w:rPr>
        <w:t>ethambutol, so the human gene set was reconstructed from literature; the focused-tier</w:t>
      </w:r>
    </w:p>
    <w:p>
      <w:pPr>
        <w:spacing w:after="120" w:line="360" w:lineRule="auto"/>
        <w:jc w:val="both"/>
      </w:pPr>
      <w:r>
        <w:rPr>
          <w:rFonts w:ascii="Times New Roman" w:hAnsi="Times New Roman" w:eastAsia="Times New Roman"/>
          <w:b w:val="0"/>
          <w:i w:val="0"/>
          <w:sz w:val="24"/>
        </w:rPr>
        <w:t>network (33 nodes, 191 edges) was led by TP53, NFE2L2, AKT1, BCL2, HMOX1, CASP3,</w:t>
      </w:r>
    </w:p>
    <w:p>
      <w:pPr>
        <w:spacing w:after="120" w:line="360" w:lineRule="auto"/>
        <w:jc w:val="both"/>
      </w:pPr>
      <w:r>
        <w:rPr>
          <w:rFonts w:ascii="Times New Roman" w:hAnsi="Times New Roman" w:eastAsia="Times New Roman"/>
          <w:b w:val="0"/>
          <w:i w:val="0"/>
          <w:sz w:val="24"/>
        </w:rPr>
        <w:t>SOD2, TNF and GPX4, and the enriched terms were headed by ferroptosis (KEGG, P = 6.1 x 10^-7),</w:t>
      </w:r>
    </w:p>
    <w:p>
      <w:pPr>
        <w:spacing w:after="120" w:line="360" w:lineRule="auto"/>
        <w:jc w:val="both"/>
      </w:pPr>
      <w:r>
        <w:rPr>
          <w:rFonts w:ascii="Times New Roman" w:hAnsi="Times New Roman" w:eastAsia="Times New Roman"/>
          <w:b w:val="0"/>
          <w:i w:val="0"/>
          <w:sz w:val="24"/>
        </w:rPr>
        <w:t>regulation of programmed cell death (GO:BP, P = 6.1 x 10^-14), the mitochondrial</w:t>
      </w:r>
    </w:p>
    <w:p>
      <w:pPr>
        <w:spacing w:after="120" w:line="360" w:lineRule="auto"/>
        <w:jc w:val="both"/>
      </w:pPr>
      <w:r>
        <w:rPr>
          <w:rFonts w:ascii="Times New Roman" w:hAnsi="Times New Roman" w:eastAsia="Times New Roman"/>
          <w:b w:val="0"/>
          <w:i w:val="0"/>
          <w:sz w:val="24"/>
        </w:rPr>
        <w:t>envelope (GO:CC, P = 1.0 x 10^-8) and BDNF-NTRK2 signalling. Docking ranked TNF,</w:t>
      </w:r>
    </w:p>
    <w:p>
      <w:pPr>
        <w:spacing w:after="120" w:line="360" w:lineRule="auto"/>
        <w:jc w:val="both"/>
      </w:pPr>
      <w:r>
        <w:rPr>
          <w:rFonts w:ascii="Times New Roman" w:hAnsi="Times New Roman" w:eastAsia="Times New Roman"/>
          <w:b w:val="0"/>
          <w:i w:val="0"/>
          <w:sz w:val="24"/>
        </w:rPr>
        <w:t>MFN2, HMOX1 and BCL2 highest among the hub targets, but at affinities of only -4.95 to</w:t>
      </w:r>
    </w:p>
    <w:p>
      <w:pPr>
        <w:spacing w:after="120" w:line="360" w:lineRule="auto"/>
        <w:jc w:val="both"/>
      </w:pPr>
      <w:r>
        <w:rPr>
          <w:rFonts w:ascii="Times New Roman" w:hAnsi="Times New Roman" w:eastAsia="Times New Roman"/>
          <w:b w:val="0"/>
          <w:i w:val="0"/>
          <w:sz w:val="24"/>
        </w:rPr>
        <w:t>-5.50 kcal/mol; all-atom molecular dynamics in three of those sites kept the ligand in</w:t>
      </w:r>
    </w:p>
    <w:p>
      <w:pPr>
        <w:spacing w:after="120" w:line="360" w:lineRule="auto"/>
        <w:jc w:val="both"/>
      </w:pPr>
      <w:r>
        <w:rPr>
          <w:rFonts w:ascii="Times New Roman" w:hAnsi="Times New Roman" w:eastAsia="Times New Roman"/>
          <w:b w:val="0"/>
          <w:i w:val="0"/>
          <w:sz w:val="24"/>
        </w:rPr>
        <w:t>contact with the protein throughout (minimum ligand–protein distance 1.76-2.18 Å, contacts</w:t>
      </w:r>
    </w:p>
    <w:p>
      <w:pPr>
        <w:spacing w:after="120" w:line="360" w:lineRule="auto"/>
        <w:jc w:val="both"/>
      </w:pPr>
      <w:r>
        <w:rPr>
          <w:rFonts w:ascii="Times New Roman" w:hAnsi="Times New Roman" w:eastAsia="Times New Roman"/>
          <w:b w:val="0"/>
          <w:i w:val="0"/>
          <w:sz w:val="24"/>
        </w:rPr>
        <w:t>maintained or increased, receptor backbone RMSD 1.18-1.34 Å), so the docked sites are sites</w:t>
      </w:r>
    </w:p>
    <w:p>
      <w:pPr>
        <w:spacing w:after="120" w:line="360" w:lineRule="auto"/>
        <w:jc w:val="both"/>
      </w:pPr>
      <w:r>
        <w:rPr>
          <w:rFonts w:ascii="Times New Roman" w:hAnsi="Times New Roman" w:eastAsia="Times New Roman"/>
          <w:b w:val="0"/>
          <w:i w:val="0"/>
          <w:sz w:val="24"/>
        </w:rPr>
        <w:t>the ligand can occupy, though it rearranges within them rather than sitting in one rigid</w:t>
      </w:r>
    </w:p>
    <w:p>
      <w:pPr>
        <w:spacing w:after="120" w:line="360" w:lineRule="auto"/>
        <w:jc w:val="both"/>
      </w:pPr>
      <w:r>
        <w:rPr>
          <w:rFonts w:ascii="Times New Roman" w:hAnsi="Times New Roman" w:eastAsia="Times New Roman"/>
          <w:b w:val="0"/>
          <w:i w:val="0"/>
          <w:sz w:val="24"/>
        </w:rPr>
        <w:t>pose. Genetically proxied renal function showed no causal effect on any</w:t>
      </w:r>
    </w:p>
    <w:p>
      <w:pPr>
        <w:spacing w:after="120" w:line="360" w:lineRule="auto"/>
        <w:jc w:val="both"/>
      </w:pPr>
      <w:r>
        <w:rPr>
          <w:rFonts w:ascii="Times New Roman" w:hAnsi="Times New Roman" w:eastAsia="Times New Roman"/>
          <w:b w:val="0"/>
          <w:i w:val="0"/>
          <w:sz w:val="24"/>
        </w:rPr>
        <w:t>optic-nerve or visual outcome (151-186 harmonised instruments per outcome across three</w:t>
      </w:r>
    </w:p>
    <w:p>
      <w:pPr>
        <w:spacing w:after="120" w:line="360" w:lineRule="auto"/>
        <w:jc w:val="both"/>
      </w:pPr>
      <w:r>
        <w:rPr>
          <w:rFonts w:ascii="Times New Roman" w:hAnsi="Times New Roman" w:eastAsia="Times New Roman"/>
          <w:b w:val="0"/>
          <w:i w:val="0"/>
          <w:sz w:val="24"/>
        </w:rPr>
        <w:t>renal measures; all q ≥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In the largest pharmacovigilance assessment</w:t>
      </w:r>
    </w:p>
    <w:p>
      <w:pPr>
        <w:spacing w:after="120" w:line="360" w:lineRule="auto"/>
        <w:jc w:val="both"/>
      </w:pPr>
      <w:r>
        <w:rPr>
          <w:rFonts w:ascii="Times New Roman" w:hAnsi="Times New Roman" w:eastAsia="Times New Roman"/>
          <w:b w:val="0"/>
          <w:i w:val="0"/>
          <w:sz w:val="24"/>
        </w:rPr>
        <w:t>of ethambutol to date, ocular toxicity is a highly specific optic-nerve signal that</w:t>
      </w:r>
    </w:p>
    <w:p>
      <w:pPr>
        <w:spacing w:after="120" w:line="360" w:lineRule="auto"/>
        <w:jc w:val="both"/>
      </w:pPr>
      <w:r>
        <w:rPr>
          <w:rFonts w:ascii="Times New Roman" w:hAnsi="Times New Roman" w:eastAsia="Times New Roman"/>
          <w:b w:val="0"/>
          <w:i w:val="0"/>
          <w:sz w:val="24"/>
        </w:rPr>
        <w:t>spares the ocular surface, is delayed by months relative to other adverse events,</w:t>
      </w:r>
    </w:p>
    <w:p>
      <w:pPr>
        <w:spacing w:after="120" w:line="360" w:lineRule="auto"/>
        <w:jc w:val="both"/>
      </w:pPr>
      <w:r>
        <w:rPr>
          <w:rFonts w:ascii="Times New Roman" w:hAnsi="Times New Roman" w:eastAsia="Times New Roman"/>
          <w:b w:val="0"/>
          <w:i w:val="0"/>
          <w:sz w:val="24"/>
        </w:rPr>
        <w:t>survives every robustness specification tested, and maps onto a</w:t>
      </w:r>
    </w:p>
    <w:p>
      <w:pPr>
        <w:spacing w:after="120" w:line="360" w:lineRule="auto"/>
        <w:jc w:val="both"/>
      </w:pPr>
      <w:r>
        <w:rPr>
          <w:rFonts w:ascii="Times New Roman" w:hAnsi="Times New Roman" w:eastAsia="Times New Roman"/>
          <w:b w:val="0"/>
          <w:i w:val="0"/>
          <w:sz w:val="24"/>
        </w:rPr>
        <w:t>ferroptosis- and mitochondrion-centred molecular network that ethambutol can occupy</w:t>
      </w:r>
    </w:p>
    <w:p>
      <w:pPr>
        <w:spacing w:after="120" w:line="360" w:lineRule="auto"/>
        <w:jc w:val="both"/>
      </w:pPr>
      <w:r>
        <w:rPr>
          <w:rFonts w:ascii="Times New Roman" w:hAnsi="Times New Roman" w:eastAsia="Times New Roman"/>
          <w:b w:val="0"/>
          <w:i w:val="0"/>
          <w:sz w:val="24"/>
        </w:rPr>
        <w:t>directly. The null genetic result for renal function indicates that renal impairment</w:t>
      </w:r>
    </w:p>
    <w:p>
      <w:pPr>
        <w:spacing w:after="120" w:line="360" w:lineRule="auto"/>
        <w:jc w:val="both"/>
      </w:pPr>
      <w:r>
        <w:rPr>
          <w:rFonts w:ascii="Times New Roman" w:hAnsi="Times New Roman" w:eastAsia="Times New Roman"/>
          <w:b w:val="0"/>
          <w:i w:val="0"/>
          <w:sz w:val="24"/>
        </w:rPr>
        <w:t>acts by raising drug exposure rather than by independently causing optic-nerve</w:t>
      </w:r>
    </w:p>
    <w:p>
      <w:pPr>
        <w:spacing w:after="120" w:line="360" w:lineRule="auto"/>
        <w:jc w:val="both"/>
      </w:pPr>
      <w:r>
        <w:rPr>
          <w:rFonts w:ascii="Times New Roman" w:hAnsi="Times New Roman" w:eastAsia="Times New Roman"/>
          <w:b w:val="0"/>
          <w:i w:val="0"/>
          <w:sz w:val="24"/>
        </w:rPr>
        <w:t>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signal detection; ferroptosis; network toxicology;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all measured during production: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production metric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the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or non-ocular artefacts, and the drug-toxicity</w:t>
      </w:r>
    </w:p>
    <w:p>
      <w:pPr>
        <w:spacing w:after="120" w:line="360" w:lineRule="auto"/>
        <w:jc w:val="both"/>
      </w:pPr>
      <w:r>
        <w:rPr>
          <w:rFonts w:ascii="Times New Roman" w:hAnsi="Times New Roman" w:eastAsia="Times New Roman"/>
          <w:b w:val="0"/>
          <w:i w:val="0"/>
          <w:sz w:val="24"/>
        </w:rPr>
        <w:t>spectrum is what the manuscript reports as the ethambutol signal.</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Twelve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turn</w:t>
      </w:r>
    </w:p>
    <w:p>
      <w:pPr>
        <w:spacing w:after="120" w:line="360" w:lineRule="auto"/>
        <w:jc w:val="both"/>
      </w:pPr>
      <w:r>
        <w:rPr>
          <w:rFonts w:ascii="Times New Roman" w:hAnsi="Times New Roman" w:eastAsia="Times New Roman"/>
          <w:b w:val="0"/>
          <w:i w:val="0"/>
          <w:sz w:val="24"/>
        </w:rPr>
        <w:t>out not to be an undecided group. Their anatomical group — optic nerve, visual function,</w:t>
      </w:r>
    </w:p>
    <w:p>
      <w:pPr>
        <w:spacing w:after="120" w:line="360" w:lineRule="auto"/>
        <w:jc w:val="both"/>
      </w:pPr>
      <w:r>
        <w:rPr>
          <w:rFonts w:ascii="Times New Roman" w:hAnsi="Times New Roman" w:eastAsia="Times New Roman"/>
          <w:b w:val="0"/>
          <w:i w:val="0"/>
          <w:sz w:val="24"/>
        </w:rPr>
        <w:t>retina, anterior segment — was already assigned by the term classifier; what they lack is</w:t>
      </w:r>
    </w:p>
    <w:p>
      <w:pPr>
        <w:spacing w:after="120" w:line="360" w:lineRule="auto"/>
        <w:jc w:val="both"/>
      </w:pPr>
      <w:r>
        <w:rPr>
          <w:rFonts w:ascii="Times New Roman" w:hAnsi="Times New Roman" w:eastAsia="Times New Roman"/>
          <w:b w:val="0"/>
          <w:i w:val="0"/>
          <w:sz w:val="24"/>
        </w:rPr>
        <w:t>a toxicity-versus-disease category, which is not needed to report them, since the panel</w:t>
      </w:r>
    </w:p>
    <w:p>
      <w:pPr>
        <w:spacing w:after="120" w:line="360" w:lineRule="auto"/>
        <w:jc w:val="both"/>
      </w:pPr>
      <w:r>
        <w:rPr>
          <w:rFonts w:ascii="Times New Roman" w:hAnsi="Times New Roman" w:eastAsia="Times New Roman"/>
          <w:b w:val="0"/>
          <w:i w:val="0"/>
          <w:sz w:val="24"/>
        </w:rPr>
        <w:t>is presented anatomically. They are now reported under those groups instead.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1" name="Picture 11"/>
            <wp:cNvGraphicFramePr>
              <a:graphicFrameLocks noChangeAspect="1"/>
            </wp:cNvGraphicFramePr>
            <a:graphic>
              <a:graphicData uri="http://schemas.openxmlformats.org/drawingml/2006/picture">
                <pic:pic>
                  <pic:nvPicPr>
                    <pic:cNvPr id="0" name="Figure7_docking.png"/>
                    <pic:cNvPicPr/>
                  </pic:nvPicPr>
                  <pic:blipFill>
                    <a:blip r:embed="rId18"/>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Funding acquisition,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2" name="Picture 1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3" name="Picture 1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4" name="Picture 1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5" name="Picture 15"/>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6" name="Picture 16"/>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7" name="Picture 17"/>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8" name="Picture 18"/>
            <wp:cNvGraphicFramePr>
              <a:graphicFrameLocks noChangeAspect="1"/>
            </wp:cNvGraphicFramePr>
            <a:graphic>
              <a:graphicData uri="http://schemas.openxmlformats.org/drawingml/2006/picture">
                <pic:pic>
                  <pic:nvPicPr>
                    <pic:cNvPr id="0" name="Figure7_docking.png"/>
                    <pic:cNvPicPr/>
                  </pic:nvPicPr>
                  <pic:blipFill>
                    <a:blip r:embed="rId18"/>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19" name="Picture 19"/>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0" name="Picture 20"/>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(12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results.</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Table2d_unclassified_terms.csv</w:t>
      </w:r>
      <w:r>
        <w:rPr>
          <w:rFonts w:ascii="Times New Roman" w:hAnsi="Times New Roman" w:eastAsia="Times New Roman"/>
          <w:b w:val="0"/>
          <w:i w:val="0"/>
          <w:sz w:val="24"/>
        </w:rPr>
        <w:t xml:space="preserve">,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(12,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Times New Roman"/>
                <w:b/>
                <w:i w:val="0"/>
                <w:sz w:val="20"/>
              </w:rPr>
              <w:t>drug</w:t>
            </w:r>
          </w:p>
        </w:tc>
        <w:tc>
          <w:tcPr>
            <w:tcW w:type="dxa" w:w="523"/>
          </w:tcPr>
          <w:p>
            <w:r/>
            <w:r>
              <w:rPr>
                <w:rFonts w:ascii="Times New Roman" w:hAnsi="Times New Roman" w:eastAsia="Times New Roman"/>
                <w:b/>
                <w:i w:val="0"/>
                <w:sz w:val="20"/>
              </w:rPr>
              <w:t>term</w:t>
            </w:r>
          </w:p>
        </w:tc>
        <w:tc>
          <w:tcPr>
            <w:tcW w:type="dxa" w:w="523"/>
          </w:tcPr>
          <w:p>
            <w:r/>
            <w:r>
              <w:rPr>
                <w:rFonts w:ascii="Times New Roman" w:hAnsi="Times New Roman" w:eastAsia="Times New Roman"/>
                <w:b/>
                <w:i w:val="0"/>
                <w:sz w:val="20"/>
              </w:rPr>
              <w:t>group</w:t>
            </w:r>
          </w:p>
        </w:tc>
        <w:tc>
          <w:tcPr>
            <w:tcW w:type="dxa" w:w="523"/>
          </w:tcPr>
          <w:p>
            <w:r/>
            <w:r>
              <w:rPr>
                <w:rFonts w:ascii="Times New Roman" w:hAnsi="Times New Roman" w:eastAsia="Times New Roman"/>
                <w:b/>
                <w:i w:val="0"/>
                <w:sz w:val="20"/>
              </w:rPr>
              <w:t>a</w:t>
            </w:r>
          </w:p>
        </w:tc>
        <w:tc>
          <w:tcPr>
            <w:tcW w:type="dxa" w:w="523"/>
          </w:tcPr>
          <w:p>
            <w:r/>
            <w:r>
              <w:rPr>
                <w:rFonts w:ascii="Times New Roman" w:hAnsi="Times New Roman" w:eastAsia="Times New Roman"/>
                <w:b/>
                <w:i w:val="0"/>
                <w:sz w:val="20"/>
              </w:rPr>
              <w:t>n_drug</w:t>
            </w:r>
          </w:p>
        </w:tc>
        <w:tc>
          <w:tcPr>
            <w:tcW w:type="dxa" w:w="523"/>
          </w:tcPr>
          <w:p>
            <w:r/>
            <w:r>
              <w:rPr>
                <w:rFonts w:ascii="Times New Roman" w:hAnsi="Times New Roman" w:eastAsia="Times New Roman"/>
                <w:b/>
                <w:i w:val="0"/>
                <w:sz w:val="20"/>
              </w:rPr>
              <w:t>n_event</w:t>
            </w:r>
          </w:p>
        </w:tc>
        <w:tc>
          <w:tcPr>
            <w:tcW w:type="dxa" w:w="523"/>
          </w:tcPr>
          <w:p>
            <w:r/>
            <w:r>
              <w:rPr>
                <w:rFonts w:ascii="Times New Roman" w:hAnsi="Times New Roman" w:eastAsia="Times New Roman"/>
                <w:b/>
                <w:i w:val="0"/>
                <w:sz w:val="20"/>
              </w:rPr>
              <w:t>ror</w:t>
            </w:r>
          </w:p>
        </w:tc>
        <w:tc>
          <w:tcPr>
            <w:tcW w:type="dxa" w:w="523"/>
          </w:tcPr>
          <w:p>
            <w:r/>
            <w:r>
              <w:rPr>
                <w:rFonts w:ascii="Times New Roman" w:hAnsi="Times New Roman" w:eastAsia="Times New Roman"/>
                <w:b/>
                <w:i w:val="0"/>
                <w:sz w:val="20"/>
              </w:rPr>
              <w:t>ror_lcl</w:t>
            </w:r>
          </w:p>
        </w:tc>
        <w:tc>
          <w:tcPr>
            <w:tcW w:type="dxa" w:w="523"/>
          </w:tcPr>
          <w:p>
            <w:r/>
            <w:r>
              <w:rPr>
                <w:rFonts w:ascii="Times New Roman" w:hAnsi="Times New Roman" w:eastAsia="Times New Roman"/>
                <w:b/>
                <w:i w:val="0"/>
                <w:sz w:val="20"/>
              </w:rPr>
              <w:t>ror_ucl</w:t>
            </w:r>
          </w:p>
        </w:tc>
        <w:tc>
          <w:tcPr>
            <w:tcW w:type="dxa" w:w="523"/>
          </w:tcPr>
          <w:p>
            <w:r/>
            <w:r>
              <w:rPr>
                <w:rFonts w:ascii="Times New Roman" w:hAnsi="Times New Roman" w:eastAsia="Times New Roman"/>
                <w:b/>
                <w:i w:val="0"/>
                <w:sz w:val="20"/>
              </w:rPr>
              <w:t>prr</w:t>
            </w:r>
          </w:p>
        </w:tc>
        <w:tc>
          <w:tcPr>
            <w:tcW w:type="dxa" w:w="523"/>
          </w:tcPr>
          <w:p>
            <w:r/>
            <w:r>
              <w:rPr>
                <w:rFonts w:ascii="Times New Roman" w:hAnsi="Times New Roman" w:eastAsia="Times New Roman"/>
                <w:b/>
                <w:i w:val="0"/>
                <w:sz w:val="20"/>
              </w:rPr>
              <w:t>chi2_yates</w:t>
            </w:r>
          </w:p>
        </w:tc>
        <w:tc>
          <w:tcPr>
            <w:tcW w:type="dxa" w:w="523"/>
          </w:tcPr>
          <w:p>
            <w:r/>
            <w:r>
              <w:rPr>
                <w:rFonts w:ascii="Times New Roman" w:hAnsi="Times New Roman" w:eastAsia="Times New Roman"/>
                <w:b/>
                <w:i w:val="0"/>
                <w:sz w:val="20"/>
              </w:rPr>
              <w:t>ic025</w:t>
            </w:r>
          </w:p>
        </w:tc>
        <w:tc>
          <w:tcPr>
            <w:tcW w:type="dxa" w:w="523"/>
          </w:tcPr>
          <w:p>
            <w:r/>
            <w:r>
              <w:rPr>
                <w:rFonts w:ascii="Times New Roman" w:hAnsi="Times New Roman" w:eastAsia="Times New Roman"/>
                <w:b/>
                <w:i w:val="0"/>
                <w:sz w:val="20"/>
              </w:rPr>
              <w:t>ebgm05</w:t>
            </w:r>
          </w:p>
        </w:tc>
        <w:tc>
          <w:tcPr>
            <w:tcW w:type="dxa" w:w="523"/>
          </w:tcPr>
          <w:p>
            <w:r/>
            <w:r>
              <w:rPr>
                <w:rFonts w:ascii="Times New Roman" w:hAnsi="Times New Roman" w:eastAsia="Times New Roman"/>
                <w:b/>
                <w:i w:val="0"/>
                <w:sz w:val="20"/>
              </w:rPr>
              <w:t>q_bh</w:t>
            </w:r>
          </w:p>
        </w:tc>
        <w:tc>
          <w:tcPr>
            <w:tcW w:type="dxa" w:w="523"/>
          </w:tcPr>
          <w:p>
            <w:r/>
            <w:r>
              <w:rPr>
                <w:rFonts w:ascii="Times New Roman" w:hAnsi="Times New Roman" w:eastAsia="Times New Roman"/>
                <w:b/>
                <w:i w:val="0"/>
                <w:sz w:val="20"/>
              </w:rPr>
              <w:t>signal_ror</w:t>
            </w:r>
          </w:p>
        </w:tc>
        <w:tc>
          <w:tcPr>
            <w:tcW w:type="dxa" w:w="523"/>
          </w:tcPr>
          <w:p>
            <w:r/>
            <w:r>
              <w:rPr>
                <w:rFonts w:ascii="Times New Roman" w:hAnsi="Times New Roman" w:eastAsia="Times New Roman"/>
                <w:b/>
                <w:i w:val="0"/>
                <w:sz w:val="20"/>
              </w:rPr>
              <w:t>signal_prr</w:t>
            </w:r>
          </w:p>
        </w:tc>
        <w:tc>
          <w:tcPr>
            <w:tcW w:type="dxa" w:w="523"/>
          </w:tcPr>
          <w:p>
            <w:r/>
            <w:r>
              <w:rPr>
                <w:rFonts w:ascii="Times New Roman" w:hAnsi="Times New Roman" w:eastAsia="Times New Roman"/>
                <w:b/>
                <w:i w:val="0"/>
                <w:sz w:val="20"/>
              </w:rPr>
              <w:t>signal_ic</w:t>
            </w:r>
          </w:p>
        </w:tc>
        <w:tc>
          <w:tcPr>
            <w:tcW w:type="dxa" w:w="523"/>
          </w:tcPr>
          <w:p>
            <w:r/>
            <w:r>
              <w:rPr>
                <w:rFonts w:ascii="Times New Roman" w:hAnsi="Times New Roman" w:eastAsia="Times New Roman"/>
                <w:b/>
                <w:i w:val="0"/>
                <w:sz w:val="20"/>
              </w:rPr>
              <w:t>signal_strict</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DISTURBANCE</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4415</w:t>
            </w:r>
          </w:p>
        </w:tc>
        <w:tc>
          <w:tcPr>
            <w:tcW w:type="dxa" w:w="523"/>
          </w:tcPr>
          <w:p>
            <w:r/>
            <w:r>
              <w:rPr>
                <w:rFonts w:ascii="Times New Roman" w:hAnsi="Times New Roman" w:eastAsia="Times New Roman"/>
                <w:b w:val="0"/>
                <w:i w:val="0"/>
                <w:sz w:val="20"/>
              </w:rPr>
              <w:t>179.9</w:t>
            </w:r>
          </w:p>
        </w:tc>
        <w:tc>
          <w:tcPr>
            <w:tcW w:type="dxa" w:w="523"/>
          </w:tcPr>
          <w:p>
            <w:r/>
            <w:r>
              <w:rPr>
                <w:rFonts w:ascii="Times New Roman" w:hAnsi="Times New Roman" w:eastAsia="Times New Roman"/>
                <w:b w:val="0"/>
                <w:i w:val="0"/>
                <w:sz w:val="20"/>
              </w:rPr>
              <w:t>1.084e+05</w:t>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t>0.1689</w:t>
            </w:r>
          </w:p>
        </w:tc>
        <w:tc>
          <w:tcPr>
            <w:tcW w:type="dxa" w:w="523"/>
          </w:tcPr>
          <w:p>
            <w:r/>
            <w:r>
              <w:rPr>
                <w:rFonts w:ascii="Times New Roman" w:hAnsi="Times New Roman" w:eastAsia="Times New Roman"/>
                <w:b w:val="0"/>
                <w:i w:val="0"/>
                <w:sz w:val="20"/>
              </w:rPr>
              <w:t>0.3514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 HETERONYMOUS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58</w:t>
            </w:r>
          </w:p>
        </w:tc>
        <w:tc>
          <w:tcPr>
            <w:tcW w:type="dxa" w:w="523"/>
          </w:tcPr>
          <w:p>
            <w:r/>
            <w:r>
              <w:rPr>
                <w:rFonts w:ascii="Times New Roman" w:hAnsi="Times New Roman" w:eastAsia="Times New Roman"/>
                <w:b w:val="0"/>
                <w:i w:val="0"/>
                <w:sz w:val="20"/>
              </w:rPr>
              <w:t>344.7</w:t>
            </w:r>
          </w:p>
        </w:tc>
        <w:tc>
          <w:tcPr>
            <w:tcW w:type="dxa" w:w="523"/>
          </w:tcPr>
          <w:p>
            <w:r/>
            <w:r>
              <w:rPr>
                <w:rFonts w:ascii="Times New Roman" w:hAnsi="Times New Roman" w:eastAsia="Times New Roman"/>
                <w:b w:val="0"/>
                <w:i w:val="0"/>
                <w:sz w:val="20"/>
              </w:rPr>
              <w:t>178.8</w:t>
            </w:r>
          </w:p>
        </w:tc>
        <w:tc>
          <w:tcPr>
            <w:tcW w:type="dxa" w:w="523"/>
          </w:tcPr>
          <w:p>
            <w:r/>
            <w:r>
              <w:rPr>
                <w:rFonts w:ascii="Times New Roman" w:hAnsi="Times New Roman" w:eastAsia="Times New Roman"/>
                <w:b w:val="0"/>
                <w:i w:val="0"/>
                <w:sz w:val="20"/>
              </w:rPr>
              <w:t>664.7</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2780</w:t>
            </w:r>
          </w:p>
        </w:tc>
        <w:tc>
          <w:tcPr>
            <w:tcW w:type="dxa" w:w="523"/>
          </w:tcPr>
          <w:p>
            <w:r/>
            <w:r>
              <w:rPr>
                <w:rFonts w:ascii="Times New Roman" w:hAnsi="Times New Roman" w:eastAsia="Times New Roman"/>
                <w:b w:val="0"/>
                <w:i w:val="0"/>
                <w:sz w:val="20"/>
              </w:rPr>
              <w:t>4.175</w:t>
            </w:r>
          </w:p>
        </w:tc>
        <w:tc>
          <w:tcPr>
            <w:tcW w:type="dxa" w:w="523"/>
          </w:tcPr>
          <w:p>
            <w:r/>
            <w:r>
              <w:rPr>
                <w:rFonts w:ascii="Times New Roman" w:hAnsi="Times New Roman" w:eastAsia="Times New Roman"/>
                <w:b w:val="0"/>
                <w:i w:val="0"/>
                <w:sz w:val="20"/>
              </w:rPr>
              <w:t>12.13</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TOXIC 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60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380</w:t>
            </w:r>
          </w:p>
        </w:tc>
        <w:tc>
          <w:tcPr>
            <w:tcW w:type="dxa" w:w="523"/>
          </w:tcPr>
          <w:p>
            <w:r/>
            <w:r>
              <w:rPr>
                <w:rFonts w:ascii="Times New Roman" w:hAnsi="Times New Roman" w:eastAsia="Times New Roman"/>
                <w:b w:val="0"/>
                <w:i w:val="0"/>
                <w:sz w:val="20"/>
              </w:rPr>
              <w:t>277.1</w:t>
            </w:r>
          </w:p>
        </w:tc>
        <w:tc>
          <w:tcPr>
            <w:tcW w:type="dxa" w:w="523"/>
          </w:tcPr>
          <w:p>
            <w:r/>
            <w:r>
              <w:rPr>
                <w:rFonts w:ascii="Times New Roman" w:hAnsi="Times New Roman" w:eastAsia="Times New Roman"/>
                <w:b w:val="0"/>
                <w:i w:val="0"/>
                <w:sz w:val="20"/>
              </w:rPr>
              <w:t>210.2</w:t>
            </w:r>
          </w:p>
        </w:tc>
        <w:tc>
          <w:tcPr>
            <w:tcW w:type="dxa" w:w="523"/>
          </w:tcPr>
          <w:p>
            <w:r/>
            <w:r>
              <w:rPr>
                <w:rFonts w:ascii="Times New Roman" w:hAnsi="Times New Roman" w:eastAsia="Times New Roman"/>
                <w:b w:val="0"/>
                <w:i w:val="0"/>
                <w:sz w:val="20"/>
              </w:rPr>
              <w:t>365.3</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1.361e+04</w:t>
            </w:r>
          </w:p>
        </w:tc>
        <w:tc>
          <w:tcPr>
            <w:tcW w:type="dxa" w:w="523"/>
          </w:tcPr>
          <w:p>
            <w:r/>
            <w:r>
              <w:rPr>
                <w:rFonts w:ascii="Times New Roman" w:hAnsi="Times New Roman" w:eastAsia="Times New Roman"/>
                <w:b w:val="0"/>
                <w:i w:val="0"/>
                <w:sz w:val="20"/>
              </w:rPr>
              <w:t>6.267</w:t>
            </w:r>
          </w:p>
        </w:tc>
        <w:tc>
          <w:tcPr>
            <w:tcW w:type="dxa" w:w="523"/>
          </w:tcPr>
          <w:p>
            <w:r/>
            <w:r>
              <w:rPr>
                <w:rFonts w:ascii="Times New Roman" w:hAnsi="Times New Roman" w:eastAsia="Times New Roman"/>
                <w:b w:val="0"/>
                <w:i w:val="0"/>
                <w:sz w:val="20"/>
              </w:rPr>
              <w:t>63.72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HYPERAEMIA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22</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68.77</w:t>
            </w:r>
          </w:p>
        </w:tc>
        <w:tc>
          <w:tcPr>
            <w:tcW w:type="dxa" w:w="523"/>
          </w:tcPr>
          <w:p>
            <w:r/>
            <w:r>
              <w:rPr>
                <w:rFonts w:ascii="Times New Roman" w:hAnsi="Times New Roman" w:eastAsia="Times New Roman"/>
                <w:b w:val="0"/>
                <w:i w:val="0"/>
                <w:sz w:val="20"/>
              </w:rPr>
              <w:t>785.5</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413.7</w:t>
            </w:r>
          </w:p>
        </w:tc>
        <w:tc>
          <w:tcPr>
            <w:tcW w:type="dxa" w:w="523"/>
          </w:tcPr>
          <w:p>
            <w:r/>
            <w:r>
              <w:rPr>
                <w:rFonts w:ascii="Times New Roman" w:hAnsi="Times New Roman" w:eastAsia="Times New Roman"/>
                <w:b w:val="0"/>
                <w:i w:val="0"/>
                <w:sz w:val="20"/>
              </w:rPr>
              <w:t>2.054</w:t>
            </w:r>
          </w:p>
        </w:tc>
        <w:tc>
          <w:tcPr>
            <w:tcW w:type="dxa" w:w="523"/>
          </w:tcPr>
          <w:p>
            <w:r/>
            <w:r>
              <w:rPr>
                <w:rFonts w:ascii="Times New Roman" w:hAnsi="Times New Roman" w:eastAsia="Times New Roman"/>
                <w:b w:val="0"/>
                <w:i w:val="0"/>
                <w:sz w:val="20"/>
              </w:rPr>
              <w:t>2.104</w:t>
            </w:r>
          </w:p>
        </w:tc>
        <w:tc>
          <w:tcPr>
            <w:tcW w:type="dxa" w:w="523"/>
          </w:tcPr>
          <w:p>
            <w:r/>
            <w:r>
              <w:rPr>
                <w:rFonts w:ascii="Times New Roman" w:hAnsi="Times New Roman" w:eastAsia="Times New Roman"/>
                <w:b w:val="0"/>
                <w:i w:val="0"/>
                <w:sz w:val="20"/>
              </w:rPr>
              <w:t>6.46e-91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VISION TESTS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w:t>
            </w:r>
          </w:p>
        </w:tc>
        <w:tc>
          <w:tcPr>
            <w:tcW w:type="dxa" w:w="523"/>
          </w:tcPr>
          <w:p>
            <w:r/>
            <w:r>
              <w:rPr>
                <w:rFonts w:ascii="Times New Roman" w:hAnsi="Times New Roman" w:eastAsia="Times New Roman"/>
                <w:b w:val="0"/>
                <w:i w:val="0"/>
                <w:sz w:val="20"/>
              </w:rPr>
              <w:t>173.2</w:t>
            </w:r>
          </w:p>
        </w:tc>
        <w:tc>
          <w:tcPr>
            <w:tcW w:type="dxa" w:w="523"/>
          </w:tcPr>
          <w:p>
            <w:r/>
            <w:r>
              <w:rPr>
                <w:rFonts w:ascii="Times New Roman" w:hAnsi="Times New Roman" w:eastAsia="Times New Roman"/>
                <w:b w:val="0"/>
                <w:i w:val="0"/>
                <w:sz w:val="20"/>
              </w:rPr>
              <w:t>61.45</w:t>
            </w:r>
          </w:p>
        </w:tc>
        <w:tc>
          <w:tcPr>
            <w:tcW w:type="dxa" w:w="523"/>
          </w:tcPr>
          <w:p>
            <w:r/>
            <w:r>
              <w:rPr>
                <w:rFonts w:ascii="Times New Roman" w:hAnsi="Times New Roman" w:eastAsia="Times New Roman"/>
                <w:b w:val="0"/>
                <w:i w:val="0"/>
                <w:sz w:val="20"/>
              </w:rPr>
              <w:t>488.1</w:t>
            </w:r>
          </w:p>
        </w:tc>
        <w:tc>
          <w:tcPr>
            <w:tcW w:type="dxa" w:w="523"/>
          </w:tcPr>
          <w:p>
            <w:r/>
            <w:r>
              <w:rPr>
                <w:rFonts w:ascii="Times New Roman" w:hAnsi="Times New Roman" w:eastAsia="Times New Roman"/>
                <w:b w:val="0"/>
                <w:i w:val="0"/>
                <w:sz w:val="20"/>
              </w:rPr>
              <w:t>173.1</w:t>
            </w:r>
          </w:p>
        </w:tc>
        <w:tc>
          <w:tcPr>
            <w:tcW w:type="dxa" w:w="523"/>
          </w:tcPr>
          <w:p>
            <w:r/>
            <w:r>
              <w:rPr>
                <w:rFonts w:ascii="Times New Roman" w:hAnsi="Times New Roman" w:eastAsia="Times New Roman"/>
                <w:b w:val="0"/>
                <w:i w:val="0"/>
                <w:sz w:val="20"/>
              </w:rPr>
              <w:t>468.1</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3.162</w:t>
            </w:r>
          </w:p>
        </w:tc>
        <w:tc>
          <w:tcPr>
            <w:tcW w:type="dxa" w:w="523"/>
          </w:tcPr>
          <w:p>
            <w:r/>
            <w:r>
              <w:rPr>
                <w:rFonts w:ascii="Times New Roman" w:hAnsi="Times New Roman" w:eastAsia="Times New Roman"/>
                <w:b w:val="0"/>
                <w:i w:val="0"/>
                <w:sz w:val="20"/>
              </w:rPr>
              <w:t>9.882e-103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153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159.2</w:t>
            </w:r>
          </w:p>
        </w:tc>
        <w:tc>
          <w:tcPr>
            <w:tcW w:type="dxa" w:w="523"/>
          </w:tcPr>
          <w:p>
            <w:r/>
            <w:r>
              <w:rPr>
                <w:rFonts w:ascii="Times New Roman" w:hAnsi="Times New Roman" w:eastAsia="Times New Roman"/>
                <w:b w:val="0"/>
                <w:i w:val="0"/>
                <w:sz w:val="20"/>
              </w:rPr>
              <w:t>134.6</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157.5</w:t>
            </w:r>
          </w:p>
        </w:tc>
        <w:tc>
          <w:tcPr>
            <w:tcW w:type="dxa" w:w="523"/>
          </w:tcPr>
          <w:p>
            <w:r/>
            <w:r>
              <w:rPr>
                <w:rFonts w:ascii="Times New Roman" w:hAnsi="Times New Roman" w:eastAsia="Times New Roman"/>
                <w:b w:val="0"/>
                <w:i w:val="0"/>
                <w:sz w:val="20"/>
              </w:rPr>
              <w:t>2.135e+04</w:t>
            </w:r>
          </w:p>
        </w:tc>
        <w:tc>
          <w:tcPr>
            <w:tcW w:type="dxa" w:w="523"/>
          </w:tcPr>
          <w:p>
            <w:r/>
            <w:r>
              <w:rPr>
                <w:rFonts w:ascii="Times New Roman" w:hAnsi="Times New Roman" w:eastAsia="Times New Roman"/>
                <w:b w:val="0"/>
                <w:i w:val="0"/>
                <w:sz w:val="20"/>
              </w:rPr>
              <w:t>6.58</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PATHWAY DISORDER</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95</w:t>
            </w:r>
          </w:p>
        </w:tc>
        <w:tc>
          <w:tcPr>
            <w:tcW w:type="dxa" w:w="523"/>
          </w:tcPr>
          <w:p>
            <w:r/>
            <w:r>
              <w:rPr>
                <w:rFonts w:ascii="Times New Roman" w:hAnsi="Times New Roman" w:eastAsia="Times New Roman"/>
                <w:b w:val="0"/>
                <w:i w:val="0"/>
                <w:sz w:val="20"/>
              </w:rPr>
              <w:t>135.4</w:t>
            </w:r>
          </w:p>
        </w:tc>
        <w:tc>
          <w:tcPr>
            <w:tcW w:type="dxa" w:w="523"/>
          </w:tcPr>
          <w:p>
            <w:r/>
            <w:r>
              <w:rPr>
                <w:rFonts w:ascii="Times New Roman" w:hAnsi="Times New Roman" w:eastAsia="Times New Roman"/>
                <w:b w:val="0"/>
                <w:i w:val="0"/>
                <w:sz w:val="20"/>
              </w:rPr>
              <w:t>65.62</w:t>
            </w:r>
          </w:p>
        </w:tc>
        <w:tc>
          <w:tcPr>
            <w:tcW w:type="dxa" w:w="523"/>
          </w:tcPr>
          <w:p>
            <w:r/>
            <w:r>
              <w:rPr>
                <w:rFonts w:ascii="Times New Roman" w:hAnsi="Times New Roman" w:eastAsia="Times New Roman"/>
                <w:b w:val="0"/>
                <w:i w:val="0"/>
                <w:sz w:val="20"/>
              </w:rPr>
              <w:t>279.4</w:t>
            </w:r>
          </w:p>
        </w:tc>
        <w:tc>
          <w:tcPr>
            <w:tcW w:type="dxa" w:w="523"/>
          </w:tcPr>
          <w:p>
            <w:r/>
            <w:r>
              <w:rPr>
                <w:rFonts w:ascii="Times New Roman" w:hAnsi="Times New Roman" w:eastAsia="Times New Roman"/>
                <w:b w:val="0"/>
                <w:i w:val="0"/>
                <w:sz w:val="20"/>
              </w:rPr>
              <w:t>135.3</w:t>
            </w:r>
          </w:p>
        </w:tc>
        <w:tc>
          <w:tcPr>
            <w:tcW w:type="dxa" w:w="523"/>
          </w:tcPr>
          <w:p>
            <w:r/>
            <w:r>
              <w:rPr>
                <w:rFonts w:ascii="Times New Roman" w:hAnsi="Times New Roman" w:eastAsia="Times New Roman"/>
                <w:b w:val="0"/>
                <w:i w:val="0"/>
                <w:sz w:val="20"/>
              </w:rPr>
              <w:t>857.6</w:t>
            </w:r>
          </w:p>
        </w:tc>
        <w:tc>
          <w:tcPr>
            <w:tcW w:type="dxa" w:w="523"/>
          </w:tcPr>
          <w:p>
            <w:r/>
            <w:r>
              <w:rPr>
                <w:rFonts w:ascii="Times New Roman" w:hAnsi="Times New Roman" w:eastAsia="Times New Roman"/>
                <w:b w:val="0"/>
                <w:i w:val="0"/>
                <w:sz w:val="20"/>
              </w:rPr>
              <w:t>3.59</w:t>
            </w:r>
          </w:p>
        </w:tc>
        <w:tc>
          <w:tcPr>
            <w:tcW w:type="dxa" w:w="523"/>
          </w:tcPr>
          <w:p>
            <w:r/>
            <w:r>
              <w:rPr>
                <w:rFonts w:ascii="Times New Roman" w:hAnsi="Times New Roman" w:eastAsia="Times New Roman"/>
                <w:b w:val="0"/>
                <w:i w:val="0"/>
                <w:sz w:val="20"/>
              </w:rPr>
              <w:t>7.681</w:t>
            </w:r>
          </w:p>
        </w:tc>
        <w:tc>
          <w:tcPr>
            <w:tcW w:type="dxa" w:w="523"/>
          </w:tcPr>
          <w:p>
            <w:r/>
            <w:r>
              <w:rPr>
                <w:rFonts w:ascii="Times New Roman" w:hAnsi="Times New Roman" w:eastAsia="Times New Roman"/>
                <w:b w:val="0"/>
                <w:i w:val="0"/>
                <w:sz w:val="20"/>
              </w:rPr>
              <w:t>2.184e-187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HEREDITARY 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w:t>
            </w:r>
          </w:p>
        </w:tc>
        <w:tc>
          <w:tcPr>
            <w:tcW w:type="dxa" w:w="523"/>
          </w:tcPr>
          <w:p>
            <w:r/>
            <w:r>
              <w:rPr>
                <w:rFonts w:ascii="Times New Roman" w:hAnsi="Times New Roman" w:eastAsia="Times New Roman"/>
                <w:b w:val="0"/>
                <w:i w:val="0"/>
                <w:sz w:val="20"/>
              </w:rPr>
              <w:t>93.96</w:t>
            </w:r>
          </w:p>
        </w:tc>
        <w:tc>
          <w:tcPr>
            <w:tcW w:type="dxa" w:w="523"/>
          </w:tcPr>
          <w:p>
            <w:r/>
            <w:r>
              <w:rPr>
                <w:rFonts w:ascii="Times New Roman" w:hAnsi="Times New Roman" w:eastAsia="Times New Roman"/>
                <w:b w:val="0"/>
                <w:i w:val="0"/>
                <w:sz w:val="20"/>
              </w:rPr>
              <w:t>29.24</w:t>
            </w:r>
          </w:p>
        </w:tc>
        <w:tc>
          <w:tcPr>
            <w:tcW w:type="dxa" w:w="523"/>
          </w:tcPr>
          <w:p>
            <w:r/>
            <w:r>
              <w:rPr>
                <w:rFonts w:ascii="Times New Roman" w:hAnsi="Times New Roman" w:eastAsia="Times New Roman"/>
                <w:b w:val="0"/>
                <w:i w:val="0"/>
                <w:sz w:val="20"/>
              </w:rPr>
              <w:t>301.9</w:t>
            </w:r>
          </w:p>
        </w:tc>
        <w:tc>
          <w:tcPr>
            <w:tcW w:type="dxa" w:w="523"/>
          </w:tcPr>
          <w:p>
            <w:r/>
            <w:r>
              <w:rPr>
                <w:rFonts w:ascii="Times New Roman" w:hAnsi="Times New Roman" w:eastAsia="Times New Roman"/>
                <w:b w:val="0"/>
                <w:i w:val="0"/>
                <w:sz w:val="20"/>
              </w:rPr>
              <w:t>93.94</w:t>
            </w:r>
          </w:p>
        </w:tc>
        <w:tc>
          <w:tcPr>
            <w:tcW w:type="dxa" w:w="523"/>
          </w:tcPr>
          <w:p>
            <w:r/>
            <w:r>
              <w:rPr>
                <w:rFonts w:ascii="Times New Roman" w:hAnsi="Times New Roman" w:eastAsia="Times New Roman"/>
                <w:b w:val="0"/>
                <w:i w:val="0"/>
                <w:sz w:val="20"/>
              </w:rPr>
              <w:t>179.2</w:t>
            </w:r>
          </w:p>
        </w:tc>
        <w:tc>
          <w:tcPr>
            <w:tcW w:type="dxa" w:w="523"/>
          </w:tcPr>
          <w:p>
            <w:r/>
            <w:r>
              <w:rPr>
                <w:rFonts w:ascii="Times New Roman" w:hAnsi="Times New Roman" w:eastAsia="Times New Roman"/>
                <w:b w:val="0"/>
                <w:i w:val="0"/>
                <w:sz w:val="20"/>
              </w:rPr>
              <w:t>1.996</w:t>
            </w:r>
          </w:p>
        </w:tc>
        <w:tc>
          <w:tcPr>
            <w:tcW w:type="dxa" w:w="523"/>
          </w:tcPr>
          <w:p>
            <w:r/>
            <w:r>
              <w:rPr>
                <w:rFonts w:ascii="Times New Roman" w:hAnsi="Times New Roman" w:eastAsia="Times New Roman"/>
                <w:b w:val="0"/>
                <w:i w:val="0"/>
                <w:sz w:val="20"/>
              </w:rPr>
              <w:t>2.03</w:t>
            </w:r>
          </w:p>
        </w:tc>
        <w:tc>
          <w:tcPr>
            <w:tcW w:type="dxa" w:w="523"/>
          </w:tcPr>
          <w:p>
            <w:r/>
            <w:r>
              <w:rPr>
                <w:rFonts w:ascii="Times New Roman" w:hAnsi="Times New Roman" w:eastAsia="Times New Roman"/>
                <w:b w:val="0"/>
                <w:i w:val="0"/>
                <w:sz w:val="20"/>
              </w:rPr>
              <w:t>5.718e-40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TOXICITY</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54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910</w:t>
            </w:r>
          </w:p>
        </w:tc>
        <w:tc>
          <w:tcPr>
            <w:tcW w:type="dxa" w:w="523"/>
          </w:tcPr>
          <w:p>
            <w:r/>
            <w:r>
              <w:rPr>
                <w:rFonts w:ascii="Times New Roman" w:hAnsi="Times New Roman" w:eastAsia="Times New Roman"/>
                <w:b w:val="0"/>
                <w:i w:val="0"/>
                <w:sz w:val="20"/>
              </w:rPr>
              <w:t>93.2</w:t>
            </w:r>
          </w:p>
        </w:tc>
        <w:tc>
          <w:tcPr>
            <w:tcW w:type="dxa" w:w="523"/>
          </w:tcPr>
          <w:p>
            <w:r/>
            <w:r>
              <w:rPr>
                <w:rFonts w:ascii="Times New Roman" w:hAnsi="Times New Roman" w:eastAsia="Times New Roman"/>
                <w:b w:val="0"/>
                <w:i w:val="0"/>
                <w:sz w:val="20"/>
              </w:rPr>
              <w:t>70.76</w:t>
            </w:r>
          </w:p>
        </w:tc>
        <w:tc>
          <w:tcPr>
            <w:tcW w:type="dxa" w:w="523"/>
          </w:tcPr>
          <w:p>
            <w:r/>
            <w:r>
              <w:rPr>
                <w:rFonts w:ascii="Times New Roman" w:hAnsi="Times New Roman" w:eastAsia="Times New Roman"/>
                <w:b w:val="0"/>
                <w:i w:val="0"/>
                <w:sz w:val="20"/>
              </w:rPr>
              <w:t>122.8</w:t>
            </w:r>
          </w:p>
        </w:tc>
        <w:tc>
          <w:tcPr>
            <w:tcW w:type="dxa" w:w="523"/>
          </w:tcPr>
          <w:p>
            <w:r/>
            <w:r>
              <w:rPr>
                <w:rFonts w:ascii="Times New Roman" w:hAnsi="Times New Roman" w:eastAsia="Times New Roman"/>
                <w:b w:val="0"/>
                <w:i w:val="0"/>
                <w:sz w:val="20"/>
              </w:rPr>
              <w:t>92.84</w:t>
            </w:r>
          </w:p>
        </w:tc>
        <w:tc>
          <w:tcPr>
            <w:tcW w:type="dxa" w:w="523"/>
          </w:tcPr>
          <w:p>
            <w:r/>
            <w:r>
              <w:rPr>
                <w:rFonts w:ascii="Times New Roman" w:hAnsi="Times New Roman" w:eastAsia="Times New Roman"/>
                <w:b w:val="0"/>
                <w:i w:val="0"/>
                <w:sz w:val="20"/>
              </w:rPr>
              <w:t>4529</w:t>
            </w:r>
          </w:p>
        </w:tc>
        <w:tc>
          <w:tcPr>
            <w:tcW w:type="dxa" w:w="523"/>
          </w:tcPr>
          <w:p>
            <w:r/>
            <w:r>
              <w:rPr>
                <w:rFonts w:ascii="Times New Roman" w:hAnsi="Times New Roman" w:eastAsia="Times New Roman"/>
                <w:b w:val="0"/>
                <w:i w:val="0"/>
                <w:sz w:val="20"/>
              </w:rPr>
              <w:t>5.542</w:t>
            </w:r>
          </w:p>
        </w:tc>
        <w:tc>
          <w:tcPr>
            <w:tcW w:type="dxa" w:w="523"/>
          </w:tcPr>
          <w:p>
            <w:r/>
            <w:r>
              <w:rPr>
                <w:rFonts w:ascii="Times New Roman" w:hAnsi="Times New Roman" w:eastAsia="Times New Roman"/>
                <w:b w:val="0"/>
                <w:i w:val="0"/>
                <w:sz w:val="20"/>
              </w:rPr>
              <w:t>38.42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EVOKED POTENTIALS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w:t>
            </w:r>
          </w:p>
        </w:tc>
        <w:tc>
          <w:tcPr>
            <w:tcW w:type="dxa" w:w="523"/>
          </w:tcPr>
          <w:p>
            <w:r/>
            <w:r>
              <w:rPr>
                <w:rFonts w:ascii="Times New Roman" w:hAnsi="Times New Roman" w:eastAsia="Times New Roman"/>
                <w:b w:val="0"/>
                <w:i w:val="0"/>
                <w:sz w:val="20"/>
              </w:rPr>
              <w:t>58.88</w:t>
            </w:r>
          </w:p>
        </w:tc>
        <w:tc>
          <w:tcPr>
            <w:tcW w:type="dxa" w:w="523"/>
          </w:tcPr>
          <w:p>
            <w:r/>
            <w:r>
              <w:rPr>
                <w:rFonts w:ascii="Times New Roman" w:hAnsi="Times New Roman" w:eastAsia="Times New Roman"/>
                <w:b w:val="0"/>
                <w:i w:val="0"/>
                <w:sz w:val="20"/>
              </w:rPr>
              <w:t>18.57</w:t>
            </w:r>
          </w:p>
        </w:tc>
        <w:tc>
          <w:tcPr>
            <w:tcW w:type="dxa" w:w="523"/>
          </w:tcPr>
          <w:p>
            <w:r/>
            <w:r>
              <w:rPr>
                <w:rFonts w:ascii="Times New Roman" w:hAnsi="Times New Roman" w:eastAsia="Times New Roman"/>
                <w:b w:val="0"/>
                <w:i w:val="0"/>
                <w:sz w:val="20"/>
              </w:rPr>
              <w:t>186.7</w:t>
            </w:r>
          </w:p>
        </w:tc>
        <w:tc>
          <w:tcPr>
            <w:tcW w:type="dxa" w:w="523"/>
          </w:tcPr>
          <w:p>
            <w:r/>
            <w:r>
              <w:rPr>
                <w:rFonts w:ascii="Times New Roman" w:hAnsi="Times New Roman" w:eastAsia="Times New Roman"/>
                <w:b w:val="0"/>
                <w:i w:val="0"/>
                <w:sz w:val="20"/>
              </w:rPr>
              <w:t>58.87</w:t>
            </w:r>
          </w:p>
        </w:tc>
        <w:tc>
          <w:tcPr>
            <w:tcW w:type="dxa" w:w="523"/>
          </w:tcPr>
          <w:p>
            <w:r/>
            <w:r>
              <w:rPr>
                <w:rFonts w:ascii="Times New Roman" w:hAnsi="Times New Roman" w:eastAsia="Times New Roman"/>
                <w:b w:val="0"/>
                <w:i w:val="0"/>
                <w:sz w:val="20"/>
              </w:rPr>
              <w:t>113.1</w:t>
            </w:r>
          </w:p>
        </w:tc>
        <w:tc>
          <w:tcPr>
            <w:tcW w:type="dxa" w:w="523"/>
          </w:tcPr>
          <w:p>
            <w:r/>
            <w:r>
              <w:rPr>
                <w:rFonts w:ascii="Times New Roman" w:hAnsi="Times New Roman" w:eastAsia="Times New Roman"/>
                <w:b w:val="0"/>
                <w:i w:val="0"/>
                <w:sz w:val="20"/>
              </w:rPr>
              <w:t>1.941</w:t>
            </w:r>
          </w:p>
        </w:tc>
        <w:tc>
          <w:tcPr>
            <w:tcW w:type="dxa" w:w="523"/>
          </w:tcPr>
          <w:p>
            <w:r/>
            <w:r>
              <w:rPr>
                <w:rFonts w:ascii="Times New Roman" w:hAnsi="Times New Roman" w:eastAsia="Times New Roman"/>
                <w:b w:val="0"/>
                <w:i w:val="0"/>
                <w:sz w:val="20"/>
              </w:rPr>
              <w:t>1.96</w:t>
            </w:r>
          </w:p>
        </w:tc>
        <w:tc>
          <w:tcPr>
            <w:tcW w:type="dxa" w:w="523"/>
          </w:tcPr>
          <w:p>
            <w:r/>
            <w:r>
              <w:rPr>
                <w:rFonts w:ascii="Times New Roman" w:hAnsi="Times New Roman" w:eastAsia="Times New Roman"/>
                <w:b w:val="0"/>
                <w:i w:val="0"/>
                <w:sz w:val="20"/>
              </w:rPr>
              <w:t>1.083e-25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DYSCHROMATOPSIA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26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788</w:t>
            </w:r>
          </w:p>
        </w:tc>
        <w:tc>
          <w:tcPr>
            <w:tcW w:type="dxa" w:w="523"/>
          </w:tcPr>
          <w:p>
            <w:r/>
            <w:r>
              <w:rPr>
                <w:rFonts w:ascii="Times New Roman" w:hAnsi="Times New Roman" w:eastAsia="Times New Roman"/>
                <w:b w:val="0"/>
                <w:i w:val="0"/>
                <w:sz w:val="20"/>
              </w:rPr>
              <w:t>50.31</w:t>
            </w:r>
          </w:p>
        </w:tc>
        <w:tc>
          <w:tcPr>
            <w:tcW w:type="dxa" w:w="523"/>
          </w:tcPr>
          <w:p>
            <w:r/>
            <w:r>
              <w:rPr>
                <w:rFonts w:ascii="Times New Roman" w:hAnsi="Times New Roman" w:eastAsia="Times New Roman"/>
                <w:b w:val="0"/>
                <w:i w:val="0"/>
                <w:sz w:val="20"/>
              </w:rPr>
              <w:t>34.02</w:t>
            </w:r>
          </w:p>
        </w:tc>
        <w:tc>
          <w:tcPr>
            <w:tcW w:type="dxa" w:w="523"/>
          </w:tcPr>
          <w:p>
            <w:r/>
            <w:r>
              <w:rPr>
                <w:rFonts w:ascii="Times New Roman" w:hAnsi="Times New Roman" w:eastAsia="Times New Roman"/>
                <w:b w:val="0"/>
                <w:i w:val="0"/>
                <w:sz w:val="20"/>
              </w:rPr>
              <w:t>74.39</w:t>
            </w:r>
          </w:p>
        </w:tc>
        <w:tc>
          <w:tcPr>
            <w:tcW w:type="dxa" w:w="523"/>
          </w:tcPr>
          <w:p>
            <w:r/>
            <w:r>
              <w:rPr>
                <w:rFonts w:ascii="Times New Roman" w:hAnsi="Times New Roman" w:eastAsia="Times New Roman"/>
                <w:b w:val="0"/>
                <w:i w:val="0"/>
                <w:sz w:val="20"/>
              </w:rPr>
              <w:t>50.21</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4.55</w:t>
            </w:r>
          </w:p>
        </w:tc>
        <w:tc>
          <w:tcPr>
            <w:tcW w:type="dxa" w:w="523"/>
          </w:tcPr>
          <w:p>
            <w:r/>
            <w:r>
              <w:rPr>
                <w:rFonts w:ascii="Times New Roman" w:hAnsi="Times New Roman" w:eastAsia="Times New Roman"/>
                <w:b w:val="0"/>
                <w:i w:val="0"/>
                <w:sz w:val="20"/>
              </w:rPr>
              <w:t>18.01</w:t>
            </w:r>
          </w:p>
        </w:tc>
        <w:tc>
          <w:tcPr>
            <w:tcW w:type="dxa" w:w="523"/>
          </w:tcPr>
          <w:p>
            <w:r/>
            <w:r>
              <w:rPr>
                <w:rFonts w:ascii="Times New Roman" w:hAnsi="Times New Roman" w:eastAsia="Times New Roman"/>
                <w:b w:val="0"/>
                <w:i w:val="0"/>
                <w:sz w:val="20"/>
              </w:rPr>
              <w:t>2.7e-254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SCOTOMA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108</w:t>
            </w:r>
          </w:p>
        </w:tc>
        <w:tc>
          <w:tcPr>
            <w:tcW w:type="dxa" w:w="523"/>
          </w:tcPr>
          <w:p>
            <w:r/>
            <w:r>
              <w:rPr>
                <w:rFonts w:ascii="Times New Roman" w:hAnsi="Times New Roman" w:eastAsia="Times New Roman"/>
                <w:b w:val="0"/>
                <w:i w:val="0"/>
                <w:sz w:val="20"/>
              </w:rPr>
              <w:t>42.06</w:t>
            </w:r>
          </w:p>
        </w:tc>
        <w:tc>
          <w:tcPr>
            <w:tcW w:type="dxa" w:w="523"/>
          </w:tcPr>
          <w:p>
            <w:r/>
            <w:r>
              <w:rPr>
                <w:rFonts w:ascii="Times New Roman" w:hAnsi="Times New Roman" w:eastAsia="Times New Roman"/>
                <w:b w:val="0"/>
                <w:i w:val="0"/>
                <w:sz w:val="20"/>
              </w:rPr>
              <w:t>13.35</w:t>
            </w:r>
          </w:p>
        </w:tc>
        <w:tc>
          <w:tcPr>
            <w:tcW w:type="dxa" w:w="523"/>
          </w:tcPr>
          <w:p>
            <w:r/>
            <w:r>
              <w:rPr>
                <w:rFonts w:ascii="Times New Roman" w:hAnsi="Times New Roman" w:eastAsia="Times New Roman"/>
                <w:b w:val="0"/>
                <w:i w:val="0"/>
                <w:sz w:val="20"/>
              </w:rPr>
              <w:t>132.5</w:t>
            </w:r>
          </w:p>
        </w:tc>
        <w:tc>
          <w:tcPr>
            <w:tcW w:type="dxa" w:w="523"/>
          </w:tcPr>
          <w:p>
            <w:r/>
            <w:r>
              <w:rPr>
                <w:rFonts w:ascii="Times New Roman" w:hAnsi="Times New Roman" w:eastAsia="Times New Roman"/>
                <w:b w:val="0"/>
                <w:i w:val="0"/>
                <w:sz w:val="20"/>
              </w:rPr>
              <w:t>42.05</w:t>
            </w:r>
          </w:p>
        </w:tc>
        <w:tc>
          <w:tcPr>
            <w:tcW w:type="dxa" w:w="523"/>
          </w:tcPr>
          <w:p>
            <w:r/>
            <w:r>
              <w:rPr>
                <w:rFonts w:ascii="Times New Roman" w:hAnsi="Times New Roman" w:eastAsia="Times New Roman"/>
                <w:b w:val="0"/>
                <w:i w:val="0"/>
                <w:sz w:val="20"/>
              </w:rPr>
              <w:t>80.35</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1.89</w:t>
            </w:r>
          </w:p>
        </w:tc>
        <w:tc>
          <w:tcPr>
            <w:tcW w:type="dxa" w:w="523"/>
          </w:tcPr>
          <w:p>
            <w:r/>
            <w:r>
              <w:rPr>
                <w:rFonts w:ascii="Times New Roman" w:hAnsi="Times New Roman" w:eastAsia="Times New Roman"/>
                <w:b w:val="0"/>
                <w:i w:val="0"/>
                <w:sz w:val="20"/>
              </w:rPr>
              <w:t>1.499e-18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NEURITIS</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129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6688</w:t>
            </w:r>
          </w:p>
        </w:tc>
        <w:tc>
          <w:tcPr>
            <w:tcW w:type="dxa" w:w="523"/>
          </w:tcPr>
          <w:p>
            <w:r/>
            <w:r>
              <w:rPr>
                <w:rFonts w:ascii="Times New Roman" w:hAnsi="Times New Roman" w:eastAsia="Times New Roman"/>
                <w:b w:val="0"/>
                <w:i w:val="0"/>
                <w:sz w:val="20"/>
              </w:rPr>
              <w:t>29.21</w:t>
            </w:r>
          </w:p>
        </w:tc>
        <w:tc>
          <w:tcPr>
            <w:tcW w:type="dxa" w:w="523"/>
          </w:tcPr>
          <w:p>
            <w:r/>
            <w:r>
              <w:rPr>
                <w:rFonts w:ascii="Times New Roman" w:hAnsi="Times New Roman" w:eastAsia="Times New Roman"/>
                <w:b w:val="0"/>
                <w:i w:val="0"/>
                <w:sz w:val="20"/>
              </w:rPr>
              <w:t>24.52</w:t>
            </w:r>
          </w:p>
        </w:tc>
        <w:tc>
          <w:tcPr>
            <w:tcW w:type="dxa" w:w="523"/>
          </w:tcPr>
          <w:p>
            <w:r/>
            <w:r>
              <w:rPr>
                <w:rFonts w:ascii="Times New Roman" w:hAnsi="Times New Roman" w:eastAsia="Times New Roman"/>
                <w:b w:val="0"/>
                <w:i w:val="0"/>
                <w:sz w:val="20"/>
              </w:rPr>
              <w:t>34.8</w:t>
            </w:r>
          </w:p>
        </w:tc>
        <w:tc>
          <w:tcPr>
            <w:tcW w:type="dxa" w:w="523"/>
          </w:tcPr>
          <w:p>
            <w:r/>
            <w:r>
              <w:rPr>
                <w:rFonts w:ascii="Times New Roman" w:hAnsi="Times New Roman" w:eastAsia="Times New Roman"/>
                <w:b w:val="0"/>
                <w:i w:val="0"/>
                <w:sz w:val="20"/>
              </w:rPr>
              <w:t>28.94</w:t>
            </w:r>
          </w:p>
        </w:tc>
        <w:tc>
          <w:tcPr>
            <w:tcW w:type="dxa" w:w="523"/>
          </w:tcPr>
          <w:p>
            <w:r/>
            <w:r>
              <w:rPr>
                <w:rFonts w:ascii="Times New Roman" w:hAnsi="Times New Roman" w:eastAsia="Times New Roman"/>
                <w:b w:val="0"/>
                <w:i w:val="0"/>
                <w:sz w:val="20"/>
              </w:rPr>
              <w:t>3387</w:t>
            </w:r>
          </w:p>
        </w:tc>
        <w:tc>
          <w:tcPr>
            <w:tcW w:type="dxa" w:w="523"/>
          </w:tcPr>
          <w:p>
            <w:r/>
            <w:r>
              <w:rPr>
                <w:rFonts w:ascii="Times New Roman" w:hAnsi="Times New Roman" w:eastAsia="Times New Roman"/>
                <w:b w:val="0"/>
                <w:i w:val="0"/>
                <w:sz w:val="20"/>
              </w:rPr>
              <w:t>4.633</w:t>
            </w:r>
          </w:p>
        </w:tc>
        <w:tc>
          <w:tcPr>
            <w:tcW w:type="dxa" w:w="523"/>
          </w:tcPr>
          <w:p>
            <w:r/>
            <w:r>
              <w:rPr>
                <w:rFonts w:ascii="Times New Roman" w:hAnsi="Times New Roman" w:eastAsia="Times New Roman"/>
                <w:b w:val="0"/>
                <w:i w:val="0"/>
                <w:sz w:val="20"/>
              </w:rPr>
              <w:t>22.09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HAEMORRHAGE</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163</w:t>
            </w:r>
          </w:p>
        </w:tc>
        <w:tc>
          <w:tcPr>
            <w:tcW w:type="dxa" w:w="523"/>
          </w:tcPr>
          <w:p>
            <w:r/>
            <w:r>
              <w:rPr>
                <w:rFonts w:ascii="Times New Roman" w:hAnsi="Times New Roman" w:eastAsia="Times New Roman"/>
                <w:b w:val="0"/>
                <w:i w:val="0"/>
                <w:sz w:val="20"/>
              </w:rPr>
              <w:t>27.6</w:t>
            </w:r>
          </w:p>
        </w:tc>
        <w:tc>
          <w:tcPr>
            <w:tcW w:type="dxa" w:w="523"/>
          </w:tcPr>
          <w:p>
            <w:r/>
            <w:r>
              <w:rPr>
                <w:rFonts w:ascii="Times New Roman" w:hAnsi="Times New Roman" w:eastAsia="Times New Roman"/>
                <w:b w:val="0"/>
                <w:i w:val="0"/>
                <w:sz w:val="20"/>
              </w:rPr>
              <w:t>8.807</w:t>
            </w:r>
          </w:p>
        </w:tc>
        <w:tc>
          <w:tcPr>
            <w:tcW w:type="dxa" w:w="523"/>
          </w:tcPr>
          <w:p>
            <w:r/>
            <w:r>
              <w:rPr>
                <w:rFonts w:ascii="Times New Roman" w:hAnsi="Times New Roman" w:eastAsia="Times New Roman"/>
                <w:b w:val="0"/>
                <w:i w:val="0"/>
                <w:sz w:val="20"/>
              </w:rPr>
              <w:t>86.49</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51.61</w:t>
            </w:r>
          </w:p>
        </w:tc>
        <w:tc>
          <w:tcPr>
            <w:tcW w:type="dxa" w:w="523"/>
          </w:tcPr>
          <w:p>
            <w:r/>
            <w:r>
              <w:rPr>
                <w:rFonts w:ascii="Times New Roman" w:hAnsi="Times New Roman" w:eastAsia="Times New Roman"/>
                <w:b w:val="0"/>
                <w:i w:val="0"/>
                <w:sz w:val="20"/>
              </w:rPr>
              <w:t>1.783</w:t>
            </w:r>
          </w:p>
        </w:tc>
        <w:tc>
          <w:tcPr>
            <w:tcW w:type="dxa" w:w="523"/>
          </w:tcPr>
          <w:p>
            <w:r/>
            <w:r>
              <w:rPr>
                <w:rFonts w:ascii="Times New Roman" w:hAnsi="Times New Roman" w:eastAsia="Times New Roman"/>
                <w:b w:val="0"/>
                <w:i w:val="0"/>
                <w:sz w:val="20"/>
              </w:rPr>
              <w:t>1.775</w:t>
            </w:r>
          </w:p>
        </w:tc>
        <w:tc>
          <w:tcPr>
            <w:tcW w:type="dxa" w:w="523"/>
          </w:tcPr>
          <w:p>
            <w:r/>
            <w:r>
              <w:rPr>
                <w:rFonts w:ascii="Times New Roman" w:hAnsi="Times New Roman" w:eastAsia="Times New Roman"/>
                <w:b w:val="0"/>
                <w:i w:val="0"/>
                <w:sz w:val="20"/>
              </w:rPr>
              <w:t>2.492e-12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440</w:t>
            </w:r>
          </w:p>
        </w:tc>
        <w:tc>
          <w:tcPr>
            <w:tcW w:type="dxa" w:w="523"/>
          </w:tcPr>
          <w:p>
            <w:r/>
            <w:r>
              <w:rPr>
                <w:rFonts w:ascii="Times New Roman" w:hAnsi="Times New Roman" w:eastAsia="Times New Roman"/>
                <w:b w:val="0"/>
                <w:i w:val="0"/>
                <w:sz w:val="20"/>
              </w:rPr>
              <w:t>27.27</w:t>
            </w:r>
          </w:p>
        </w:tc>
        <w:tc>
          <w:tcPr>
            <w:tcW w:type="dxa" w:w="523"/>
          </w:tcPr>
          <w:p>
            <w:r/>
            <w:r>
              <w:rPr>
                <w:rFonts w:ascii="Times New Roman" w:hAnsi="Times New Roman" w:eastAsia="Times New Roman"/>
                <w:b w:val="0"/>
                <w:i w:val="0"/>
                <w:sz w:val="20"/>
              </w:rPr>
              <w:t>13.55</w:t>
            </w:r>
          </w:p>
        </w:tc>
        <w:tc>
          <w:tcPr>
            <w:tcW w:type="dxa" w:w="523"/>
          </w:tcPr>
          <w:p>
            <w:r/>
            <w:r>
              <w:rPr>
                <w:rFonts w:ascii="Times New Roman" w:hAnsi="Times New Roman" w:eastAsia="Times New Roman"/>
                <w:b w:val="0"/>
                <w:i w:val="0"/>
                <w:sz w:val="20"/>
              </w:rPr>
              <w:t>54.89</w:t>
            </w:r>
          </w:p>
        </w:tc>
        <w:tc>
          <w:tcPr>
            <w:tcW w:type="dxa" w:w="523"/>
          </w:tcPr>
          <w:p>
            <w:r/>
            <w:r>
              <w:rPr>
                <w:rFonts w:ascii="Times New Roman" w:hAnsi="Times New Roman" w:eastAsia="Times New Roman"/>
                <w:b w:val="0"/>
                <w:i w:val="0"/>
                <w:sz w:val="20"/>
              </w:rPr>
              <w:t>27.25</w:t>
            </w:r>
          </w:p>
        </w:tc>
        <w:tc>
          <w:tcPr>
            <w:tcW w:type="dxa" w:w="523"/>
          </w:tcPr>
          <w:p>
            <w:r/>
            <w:r>
              <w:rPr>
                <w:rFonts w:ascii="Times New Roman" w:hAnsi="Times New Roman" w:eastAsia="Times New Roman"/>
                <w:b w:val="0"/>
                <w:i w:val="0"/>
                <w:sz w:val="20"/>
              </w:rPr>
              <w:t>173.7</w:t>
            </w:r>
          </w:p>
        </w:tc>
        <w:tc>
          <w:tcPr>
            <w:tcW w:type="dxa" w:w="523"/>
          </w:tcPr>
          <w:p>
            <w:r/>
            <w:r>
              <w:rPr>
                <w:rFonts w:ascii="Times New Roman" w:hAnsi="Times New Roman" w:eastAsia="Times New Roman"/>
                <w:b w:val="0"/>
                <w:i w:val="0"/>
                <w:sz w:val="20"/>
              </w:rPr>
              <w:t>3.06</w:t>
            </w:r>
          </w:p>
        </w:tc>
        <w:tc>
          <w:tcPr>
            <w:tcW w:type="dxa" w:w="523"/>
          </w:tcPr>
          <w:p>
            <w:r/>
            <w:r>
              <w:rPr>
                <w:rFonts w:ascii="Times New Roman" w:hAnsi="Times New Roman" w:eastAsia="Times New Roman"/>
                <w:b w:val="0"/>
                <w:i w:val="0"/>
                <w:sz w:val="20"/>
              </w:rPr>
              <w:t>5.428</w:t>
            </w:r>
          </w:p>
        </w:tc>
        <w:tc>
          <w:tcPr>
            <w:tcW w:type="dxa" w:w="523"/>
          </w:tcPr>
          <w:p>
            <w:r/>
            <w:r>
              <w:rPr>
                <w:rFonts w:ascii="Times New Roman" w:hAnsi="Times New Roman" w:eastAsia="Times New Roman"/>
                <w:b w:val="0"/>
                <w:i w:val="0"/>
                <w:sz w:val="20"/>
              </w:rPr>
              <w:t>8.919e-39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DEPOSITS</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25.28</w:t>
            </w:r>
          </w:p>
        </w:tc>
        <w:tc>
          <w:tcPr>
            <w:tcW w:type="dxa" w:w="523"/>
          </w:tcPr>
          <w:p>
            <w:r/>
            <w:r>
              <w:rPr>
                <w:rFonts w:ascii="Times New Roman" w:hAnsi="Times New Roman" w:eastAsia="Times New Roman"/>
                <w:b w:val="0"/>
                <w:i w:val="0"/>
                <w:sz w:val="20"/>
              </w:rPr>
              <w:t>12.56</w:t>
            </w:r>
          </w:p>
        </w:tc>
        <w:tc>
          <w:tcPr>
            <w:tcW w:type="dxa" w:w="523"/>
          </w:tcPr>
          <w:p>
            <w:r/>
            <w:r>
              <w:rPr>
                <w:rFonts w:ascii="Times New Roman" w:hAnsi="Times New Roman" w:eastAsia="Times New Roman"/>
                <w:b w:val="0"/>
                <w:i w:val="0"/>
                <w:sz w:val="20"/>
              </w:rPr>
              <w:t>50.86</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160.2</w:t>
            </w:r>
          </w:p>
        </w:tc>
        <w:tc>
          <w:tcPr>
            <w:tcW w:type="dxa" w:w="523"/>
          </w:tcPr>
          <w:p>
            <w:r/>
            <w:r>
              <w:rPr>
                <w:rFonts w:ascii="Times New Roman" w:hAnsi="Times New Roman" w:eastAsia="Times New Roman"/>
                <w:b w:val="0"/>
                <w:i w:val="0"/>
                <w:sz w:val="20"/>
              </w:rPr>
              <w:t>3.016</w:t>
            </w:r>
          </w:p>
        </w:tc>
        <w:tc>
          <w:tcPr>
            <w:tcW w:type="dxa" w:w="523"/>
          </w:tcPr>
          <w:p>
            <w:r/>
            <w:r>
              <w:rPr>
                <w:rFonts w:ascii="Times New Roman" w:hAnsi="Times New Roman" w:eastAsia="Times New Roman"/>
                <w:b w:val="0"/>
                <w:i w:val="0"/>
                <w:sz w:val="20"/>
              </w:rPr>
              <w:t>5.276</w:t>
            </w:r>
          </w:p>
        </w:tc>
        <w:tc>
          <w:tcPr>
            <w:tcW w:type="dxa" w:w="523"/>
          </w:tcPr>
          <w:p>
            <w:r/>
            <w:r>
              <w:rPr>
                <w:rFonts w:ascii="Times New Roman" w:hAnsi="Times New Roman" w:eastAsia="Times New Roman"/>
                <w:b w:val="0"/>
                <w:i w:val="0"/>
                <w:sz w:val="20"/>
              </w:rPr>
              <w:t>7.259e-36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1146</w:t>
            </w:r>
          </w:p>
        </w:tc>
        <w:tc>
          <w:tcPr>
            <w:tcW w:type="dxa" w:w="523"/>
          </w:tcPr>
          <w:p>
            <w:r/>
            <w:r>
              <w:rPr>
                <w:rFonts w:ascii="Times New Roman" w:hAnsi="Times New Roman" w:eastAsia="Times New Roman"/>
                <w:b w:val="0"/>
                <w:i w:val="0"/>
                <w:sz w:val="20"/>
              </w:rPr>
              <w:t>24.84</w:t>
            </w:r>
          </w:p>
        </w:tc>
        <w:tc>
          <w:tcPr>
            <w:tcW w:type="dxa" w:w="523"/>
          </w:tcPr>
          <w:p>
            <w:r/>
            <w:r>
              <w:rPr>
                <w:rFonts w:ascii="Times New Roman" w:hAnsi="Times New Roman" w:eastAsia="Times New Roman"/>
                <w:b w:val="0"/>
                <w:i w:val="0"/>
                <w:sz w:val="20"/>
              </w:rPr>
              <w:t>15.78</w:t>
            </w:r>
          </w:p>
        </w:tc>
        <w:tc>
          <w:tcPr>
            <w:tcW w:type="dxa" w:w="523"/>
          </w:tcPr>
          <w:p>
            <w:r/>
            <w:r>
              <w:rPr>
                <w:rFonts w:ascii="Times New Roman" w:hAnsi="Times New Roman" w:eastAsia="Times New Roman"/>
                <w:b w:val="0"/>
                <w:i w:val="0"/>
                <w:sz w:val="20"/>
              </w:rPr>
              <w:t>39.11</w:t>
            </w:r>
          </w:p>
        </w:tc>
        <w:tc>
          <w:tcPr>
            <w:tcW w:type="dxa" w:w="523"/>
          </w:tcPr>
          <w:p>
            <w:r/>
            <w:r>
              <w:rPr>
                <w:rFonts w:ascii="Times New Roman" w:hAnsi="Times New Roman" w:eastAsia="Times New Roman"/>
                <w:b w:val="0"/>
                <w:i w:val="0"/>
                <w:sz w:val="20"/>
              </w:rPr>
              <w:t>24.81</w:t>
            </w:r>
          </w:p>
        </w:tc>
        <w:tc>
          <w:tcPr>
            <w:tcW w:type="dxa" w:w="523"/>
          </w:tcPr>
          <w:p>
            <w:r/>
            <w:r>
              <w:rPr>
                <w:rFonts w:ascii="Times New Roman" w:hAnsi="Times New Roman" w:eastAsia="Times New Roman"/>
                <w:b w:val="0"/>
                <w:i w:val="0"/>
                <w:sz w:val="20"/>
              </w:rPr>
              <w:t>403.9</w:t>
            </w:r>
          </w:p>
        </w:tc>
        <w:tc>
          <w:tcPr>
            <w:tcW w:type="dxa" w:w="523"/>
          </w:tcPr>
          <w:p>
            <w:r/>
            <w:r>
              <w:rPr>
                <w:rFonts w:ascii="Times New Roman" w:hAnsi="Times New Roman" w:eastAsia="Times New Roman"/>
                <w:b w:val="0"/>
                <w:i w:val="0"/>
                <w:sz w:val="20"/>
              </w:rPr>
              <w:t>3.746</w:t>
            </w:r>
          </w:p>
        </w:tc>
        <w:tc>
          <w:tcPr>
            <w:tcW w:type="dxa" w:w="523"/>
          </w:tcPr>
          <w:p>
            <w:r/>
            <w:r>
              <w:rPr>
                <w:rFonts w:ascii="Times New Roman" w:hAnsi="Times New Roman" w:eastAsia="Times New Roman"/>
                <w:b w:val="0"/>
                <w:i w:val="0"/>
                <w:sz w:val="20"/>
              </w:rPr>
              <w:t>10.05</w:t>
            </w:r>
          </w:p>
        </w:tc>
        <w:tc>
          <w:tcPr>
            <w:tcW w:type="dxa" w:w="523"/>
          </w:tcPr>
          <w:p>
            <w:r/>
            <w:r>
              <w:rPr>
                <w:rFonts w:ascii="Times New Roman" w:hAnsi="Times New Roman" w:eastAsia="Times New Roman"/>
                <w:b w:val="0"/>
                <w:i w:val="0"/>
                <w:sz w:val="20"/>
              </w:rPr>
              <w:t>8.198e-89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 ACQUIRED</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245</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9.095</w:t>
            </w:r>
          </w:p>
        </w:tc>
        <w:tc>
          <w:tcPr>
            <w:tcW w:type="dxa" w:w="523"/>
          </w:tcPr>
          <w:p>
            <w:r/>
            <w:r>
              <w:rPr>
                <w:rFonts w:ascii="Times New Roman" w:hAnsi="Times New Roman" w:eastAsia="Times New Roman"/>
                <w:b w:val="0"/>
                <w:i w:val="0"/>
                <w:sz w:val="20"/>
              </w:rPr>
              <w:t>65.64</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66.85</w:t>
            </w:r>
          </w:p>
        </w:tc>
        <w:tc>
          <w:tcPr>
            <w:tcW w:type="dxa" w:w="523"/>
          </w:tcPr>
          <w:p>
            <w:r/>
            <w:r>
              <w:rPr>
                <w:rFonts w:ascii="Times New Roman" w:hAnsi="Times New Roman" w:eastAsia="Times New Roman"/>
                <w:b w:val="0"/>
                <w:i w:val="0"/>
                <w:sz w:val="20"/>
              </w:rPr>
              <w:t>2.154</w:t>
            </w:r>
          </w:p>
        </w:tc>
        <w:tc>
          <w:tcPr>
            <w:tcW w:type="dxa" w:w="523"/>
          </w:tcPr>
          <w:p>
            <w:r/>
            <w:r>
              <w:rPr>
                <w:rFonts w:ascii="Times New Roman" w:hAnsi="Times New Roman" w:eastAsia="Times New Roman"/>
                <w:b w:val="0"/>
                <w:i w:val="0"/>
                <w:sz w:val="20"/>
              </w:rPr>
              <w:t>2.495</w:t>
            </w:r>
          </w:p>
        </w:tc>
        <w:tc>
          <w:tcPr>
            <w:tcW w:type="dxa" w:w="523"/>
          </w:tcPr>
          <w:p>
            <w:r/>
            <w:r>
              <w:rPr>
                <w:rFonts w:ascii="Times New Roman" w:hAnsi="Times New Roman" w:eastAsia="Times New Roman"/>
                <w:b w:val="0"/>
                <w:i w:val="0"/>
                <w:sz w:val="20"/>
              </w:rPr>
              <w:t>1.209e-15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623</w:t>
            </w:r>
          </w:p>
        </w:tc>
        <w:tc>
          <w:tcPr>
            <w:tcW w:type="dxa" w:w="523"/>
          </w:tcPr>
          <w:p>
            <w:r/>
            <w:r>
              <w:rPr>
                <w:rFonts w:ascii="Times New Roman" w:hAnsi="Times New Roman" w:eastAsia="Times New Roman"/>
                <w:b w:val="0"/>
                <w:i w:val="0"/>
                <w:sz w:val="20"/>
              </w:rPr>
              <w:t>24.02</w:t>
            </w:r>
          </w:p>
        </w:tc>
        <w:tc>
          <w:tcPr>
            <w:tcW w:type="dxa" w:w="523"/>
          </w:tcPr>
          <w:p>
            <w:r/>
            <w:r>
              <w:rPr>
                <w:rFonts w:ascii="Times New Roman" w:hAnsi="Times New Roman" w:eastAsia="Times New Roman"/>
                <w:b w:val="0"/>
                <w:i w:val="0"/>
                <w:sz w:val="20"/>
              </w:rPr>
              <w:t>12.86</w:t>
            </w:r>
          </w:p>
        </w:tc>
        <w:tc>
          <w:tcPr>
            <w:tcW w:type="dxa" w:w="523"/>
          </w:tcPr>
          <w:p>
            <w:r/>
            <w:r>
              <w:rPr>
                <w:rFonts w:ascii="Times New Roman" w:hAnsi="Times New Roman" w:eastAsia="Times New Roman"/>
                <w:b w:val="0"/>
                <w:i w:val="0"/>
                <w:sz w:val="20"/>
              </w:rPr>
              <w:t>44.89</w:t>
            </w:r>
          </w:p>
        </w:tc>
        <w:tc>
          <w:tcPr>
            <w:tcW w:type="dxa" w:w="523"/>
          </w:tcPr>
          <w:p>
            <w:r/>
            <w:r>
              <w:rPr>
                <w:rFonts w:ascii="Times New Roman" w:hAnsi="Times New Roman" w:eastAsia="Times New Roman"/>
                <w:b w:val="0"/>
                <w:i w:val="0"/>
                <w:sz w:val="20"/>
              </w:rPr>
              <w:t>24.01</w:t>
            </w:r>
          </w:p>
        </w:tc>
        <w:tc>
          <w:tcPr>
            <w:tcW w:type="dxa" w:w="523"/>
          </w:tcPr>
          <w:p>
            <w:r/>
            <w:r>
              <w:rPr>
                <w:rFonts w:ascii="Times New Roman" w:hAnsi="Times New Roman" w:eastAsia="Times New Roman"/>
                <w:b w:val="0"/>
                <w:i w:val="0"/>
                <w:sz w:val="20"/>
              </w:rPr>
              <w:t>194.9</w:t>
            </w:r>
          </w:p>
        </w:tc>
        <w:tc>
          <w:tcPr>
            <w:tcW w:type="dxa" w:w="523"/>
          </w:tcPr>
          <w:p>
            <w:r/>
            <w:r>
              <w:rPr>
                <w:rFonts w:ascii="Times New Roman" w:hAnsi="Times New Roman" w:eastAsia="Times New Roman"/>
                <w:b w:val="0"/>
                <w:i w:val="0"/>
                <w:sz w:val="20"/>
              </w:rPr>
              <w:t>3.207</w:t>
            </w:r>
          </w:p>
        </w:tc>
        <w:tc>
          <w:tcPr>
            <w:tcW w:type="dxa" w:w="523"/>
          </w:tcPr>
          <w:p>
            <w:r/>
            <w:r>
              <w:rPr>
                <w:rFonts w:ascii="Times New Roman" w:hAnsi="Times New Roman" w:eastAsia="Times New Roman"/>
                <w:b w:val="0"/>
                <w:i w:val="0"/>
                <w:sz w:val="20"/>
              </w:rPr>
              <w:t>6.279</w:t>
            </w:r>
          </w:p>
        </w:tc>
        <w:tc>
          <w:tcPr>
            <w:tcW w:type="dxa" w:w="523"/>
          </w:tcPr>
          <w:p>
            <w:r/>
            <w:r>
              <w:rPr>
                <w:rFonts w:ascii="Times New Roman" w:hAnsi="Times New Roman" w:eastAsia="Times New Roman"/>
                <w:b w:val="0"/>
                <w:i w:val="0"/>
                <w:sz w:val="20"/>
              </w:rPr>
              <w:t>2.288e-43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INJURY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963</w:t>
            </w:r>
          </w:p>
        </w:tc>
        <w:tc>
          <w:tcPr>
            <w:tcW w:type="dxa" w:w="523"/>
          </w:tcPr>
          <w:p>
            <w:r/>
            <w:r>
              <w:rPr>
                <w:rFonts w:ascii="Times New Roman" w:hAnsi="Times New Roman" w:eastAsia="Times New Roman"/>
                <w:b w:val="0"/>
                <w:i w:val="0"/>
                <w:sz w:val="20"/>
              </w:rPr>
              <w:t>15.45</w:t>
            </w:r>
          </w:p>
        </w:tc>
        <w:tc>
          <w:tcPr>
            <w:tcW w:type="dxa" w:w="523"/>
          </w:tcPr>
          <w:p>
            <w:r/>
            <w:r>
              <w:rPr>
                <w:rFonts w:ascii="Times New Roman" w:hAnsi="Times New Roman" w:eastAsia="Times New Roman"/>
                <w:b w:val="0"/>
                <w:i w:val="0"/>
                <w:sz w:val="20"/>
              </w:rPr>
              <w:t>8.286</w:t>
            </w:r>
          </w:p>
        </w:tc>
        <w:tc>
          <w:tcPr>
            <w:tcW w:type="dxa" w:w="523"/>
          </w:tcPr>
          <w:p>
            <w:r/>
            <w:r>
              <w:rPr>
                <w:rFonts w:ascii="Times New Roman" w:hAnsi="Times New Roman" w:eastAsia="Times New Roman"/>
                <w:b w:val="0"/>
                <w:i w:val="0"/>
                <w:sz w:val="20"/>
              </w:rPr>
              <w:t>28.82</w:t>
            </w:r>
          </w:p>
        </w:tc>
        <w:tc>
          <w:tcPr>
            <w:tcW w:type="dxa" w:w="523"/>
          </w:tcPr>
          <w:p>
            <w:r/>
            <w:r>
              <w:rPr>
                <w:rFonts w:ascii="Times New Roman" w:hAnsi="Times New Roman" w:eastAsia="Times New Roman"/>
                <w:b w:val="0"/>
                <w:i w:val="0"/>
                <w:sz w:val="20"/>
              </w:rPr>
              <w:t>15.44</w:t>
            </w:r>
          </w:p>
        </w:tc>
        <w:tc>
          <w:tcPr>
            <w:tcW w:type="dxa" w:w="523"/>
          </w:tcPr>
          <w:p>
            <w:r/>
            <w:r>
              <w:rPr>
                <w:rFonts w:ascii="Times New Roman" w:hAnsi="Times New Roman" w:eastAsia="Times New Roman"/>
                <w:b w:val="0"/>
                <w:i w:val="0"/>
                <w:sz w:val="20"/>
              </w:rPr>
              <w:t>119.8</w:t>
            </w:r>
          </w:p>
        </w:tc>
        <w:tc>
          <w:tcPr>
            <w:tcW w:type="dxa" w:w="523"/>
          </w:tcPr>
          <w:p>
            <w:r/>
            <w:r>
              <w:rPr>
                <w:rFonts w:ascii="Times New Roman" w:hAnsi="Times New Roman" w:eastAsia="Times New Roman"/>
                <w:b w:val="0"/>
                <w:i w:val="0"/>
                <w:sz w:val="20"/>
              </w:rPr>
              <w:t>2.865</w:t>
            </w:r>
          </w:p>
        </w:tc>
        <w:tc>
          <w:tcPr>
            <w:tcW w:type="dxa" w:w="523"/>
          </w:tcPr>
          <w:p>
            <w:r/>
            <w:r>
              <w:rPr>
                <w:rFonts w:ascii="Times New Roman" w:hAnsi="Times New Roman" w:eastAsia="Times New Roman"/>
                <w:b w:val="0"/>
                <w:i w:val="0"/>
                <w:sz w:val="20"/>
              </w:rPr>
              <w:t>5.023</w:t>
            </w:r>
          </w:p>
        </w:tc>
        <w:tc>
          <w:tcPr>
            <w:tcW w:type="dxa" w:w="523"/>
          </w:tcPr>
          <w:p>
            <w:r/>
            <w:r>
              <w:rPr>
                <w:rFonts w:ascii="Times New Roman" w:hAnsi="Times New Roman" w:eastAsia="Times New Roman"/>
                <w:b w:val="0"/>
                <w:i w:val="0"/>
                <w:sz w:val="20"/>
              </w:rPr>
              <w:t>4.223e-27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678</w:t>
            </w:r>
          </w:p>
        </w:tc>
        <w:tc>
          <w:tcPr>
            <w:tcW w:type="dxa" w:w="523"/>
          </w:tcPr>
          <w:p>
            <w:r/>
            <w:r>
              <w:rPr>
                <w:rFonts w:ascii="Times New Roman" w:hAnsi="Times New Roman" w:eastAsia="Times New Roman"/>
                <w:b w:val="0"/>
                <w:i w:val="0"/>
                <w:sz w:val="20"/>
              </w:rPr>
              <w:t>15.36</w:t>
            </w:r>
          </w:p>
        </w:tc>
        <w:tc>
          <w:tcPr>
            <w:tcW w:type="dxa" w:w="523"/>
          </w:tcPr>
          <w:p>
            <w:r/>
            <w:r>
              <w:rPr>
                <w:rFonts w:ascii="Times New Roman" w:hAnsi="Times New Roman" w:eastAsia="Times New Roman"/>
                <w:b w:val="0"/>
                <w:i w:val="0"/>
                <w:sz w:val="20"/>
              </w:rPr>
              <w:t>7.293</w:t>
            </w:r>
          </w:p>
        </w:tc>
        <w:tc>
          <w:tcPr>
            <w:tcW w:type="dxa" w:w="523"/>
          </w:tcPr>
          <w:p>
            <w:r/>
            <w:r>
              <w:rPr>
                <w:rFonts w:ascii="Times New Roman" w:hAnsi="Times New Roman" w:eastAsia="Times New Roman"/>
                <w:b w:val="0"/>
                <w:i w:val="0"/>
                <w:sz w:val="20"/>
              </w:rPr>
              <w:t>32.35</w:t>
            </w:r>
          </w:p>
        </w:tc>
        <w:tc>
          <w:tcPr>
            <w:tcW w:type="dxa" w:w="523"/>
          </w:tcPr>
          <w:p>
            <w:r/>
            <w:r>
              <w:rPr>
                <w:rFonts w:ascii="Times New Roman" w:hAnsi="Times New Roman" w:eastAsia="Times New Roman"/>
                <w:b w:val="0"/>
                <w:i w:val="0"/>
                <w:sz w:val="20"/>
              </w:rPr>
              <w:t>15.35</w:t>
            </w:r>
          </w:p>
        </w:tc>
        <w:tc>
          <w:tcPr>
            <w:tcW w:type="dxa" w:w="523"/>
          </w:tcPr>
          <w:p>
            <w:r/>
            <w:r>
              <w:rPr>
                <w:rFonts w:ascii="Times New Roman" w:hAnsi="Times New Roman" w:eastAsia="Times New Roman"/>
                <w:b w:val="0"/>
                <w:i w:val="0"/>
                <w:sz w:val="20"/>
              </w:rPr>
              <w:t>79.29</w:t>
            </w:r>
          </w:p>
        </w:tc>
        <w:tc>
          <w:tcPr>
            <w:tcW w:type="dxa" w:w="523"/>
          </w:tcPr>
          <w:p>
            <w:r/>
            <w:r>
              <w:rPr>
                <w:rFonts w:ascii="Times New Roman" w:hAnsi="Times New Roman" w:eastAsia="Times New Roman"/>
                <w:b w:val="0"/>
                <w:i w:val="0"/>
                <w:sz w:val="20"/>
              </w:rPr>
              <w:t>2.55</w:t>
            </w:r>
          </w:p>
        </w:tc>
        <w:tc>
          <w:tcPr>
            <w:tcW w:type="dxa" w:w="523"/>
          </w:tcPr>
          <w:p>
            <w:r/>
            <w:r>
              <w:rPr>
                <w:rFonts w:ascii="Times New Roman" w:hAnsi="Times New Roman" w:eastAsia="Times New Roman"/>
                <w:b w:val="0"/>
                <w:i w:val="0"/>
                <w:sz w:val="20"/>
              </w:rPr>
              <w:t>3.78</w:t>
            </w:r>
          </w:p>
        </w:tc>
        <w:tc>
          <w:tcPr>
            <w:tcW w:type="dxa" w:w="523"/>
          </w:tcPr>
          <w:p>
            <w:r/>
            <w:r>
              <w:rPr>
                <w:rFonts w:ascii="Times New Roman" w:hAnsi="Times New Roman" w:eastAsia="Times New Roman"/>
                <w:b w:val="0"/>
                <w:i w:val="0"/>
                <w:sz w:val="20"/>
              </w:rPr>
              <w:t>2.492e-18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110</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1.885</w:t>
            </w:r>
          </w:p>
        </w:tc>
        <w:tc>
          <w:tcPr>
            <w:tcW w:type="dxa" w:w="523"/>
          </w:tcPr>
          <w:p>
            <w:r/>
            <w:r>
              <w:rPr>
                <w:rFonts w:ascii="Times New Roman" w:hAnsi="Times New Roman" w:eastAsia="Times New Roman"/>
                <w:b w:val="0"/>
                <w:i w:val="0"/>
                <w:sz w:val="20"/>
              </w:rPr>
              <w:t>96.72</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2.423</w:t>
            </w:r>
          </w:p>
        </w:tc>
        <w:tc>
          <w:tcPr>
            <w:tcW w:type="dxa" w:w="523"/>
          </w:tcPr>
          <w:p>
            <w:r/>
            <w:r>
              <w:rPr>
                <w:rFonts w:ascii="Times New Roman" w:hAnsi="Times New Roman" w:eastAsia="Times New Roman"/>
                <w:b w:val="0"/>
                <w:i w:val="0"/>
                <w:sz w:val="20"/>
              </w:rPr>
              <w:t>-0.06095</w:t>
            </w:r>
          </w:p>
        </w:tc>
        <w:tc>
          <w:tcPr>
            <w:tcW w:type="dxa" w:w="523"/>
          </w:tcPr>
          <w:p>
            <w:r/>
            <w:r>
              <w:rPr>
                <w:rFonts w:ascii="Times New Roman" w:hAnsi="Times New Roman" w:eastAsia="Times New Roman"/>
                <w:b w:val="0"/>
                <w:i w:val="0"/>
                <w:sz w:val="20"/>
              </w:rPr>
              <w:t>0.3061</w:t>
            </w:r>
          </w:p>
        </w:tc>
        <w:tc>
          <w:tcPr>
            <w:tcW w:type="dxa" w:w="523"/>
          </w:tcPr>
          <w:p>
            <w:r/>
            <w:r>
              <w:rPr>
                <w:rFonts w:ascii="Times New Roman" w:hAnsi="Times New Roman" w:eastAsia="Times New Roman"/>
                <w:b w:val="0"/>
                <w:i w:val="0"/>
                <w:sz w:val="20"/>
              </w:rPr>
              <w:t>0.2054</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1052</w:t>
            </w:r>
          </w:p>
        </w:tc>
        <w:tc>
          <w:tcPr>
            <w:tcW w:type="dxa" w:w="523"/>
          </w:tcPr>
          <w:p>
            <w:r/>
            <w:r>
              <w:rPr>
                <w:rFonts w:ascii="Times New Roman" w:hAnsi="Times New Roman" w:eastAsia="Times New Roman"/>
                <w:b w:val="0"/>
                <w:i w:val="0"/>
                <w:sz w:val="20"/>
              </w:rPr>
              <w:t>9.862</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20.74</w:t>
            </w:r>
          </w:p>
        </w:tc>
        <w:tc>
          <w:tcPr>
            <w:tcW w:type="dxa" w:w="523"/>
          </w:tcPr>
          <w:p>
            <w:r/>
            <w:r>
              <w:rPr>
                <w:rFonts w:ascii="Times New Roman" w:hAnsi="Times New Roman" w:eastAsia="Times New Roman"/>
                <w:b w:val="0"/>
                <w:i w:val="0"/>
                <w:sz w:val="20"/>
              </w:rPr>
              <w:t>9.858</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2.183</w:t>
            </w:r>
          </w:p>
        </w:tc>
        <w:tc>
          <w:tcPr>
            <w:tcW w:type="dxa" w:w="523"/>
          </w:tcPr>
          <w:p>
            <w:r/>
            <w:r>
              <w:rPr>
                <w:rFonts w:ascii="Times New Roman" w:hAnsi="Times New Roman" w:eastAsia="Times New Roman"/>
                <w:b w:val="0"/>
                <w:i w:val="0"/>
                <w:sz w:val="20"/>
              </w:rPr>
              <w:t>2.99</w:t>
            </w:r>
          </w:p>
        </w:tc>
        <w:tc>
          <w:tcPr>
            <w:tcW w:type="dxa" w:w="523"/>
          </w:tcPr>
          <w:p>
            <w:r/>
            <w:r>
              <w:rPr>
                <w:rFonts w:ascii="Times New Roman" w:hAnsi="Times New Roman" w:eastAsia="Times New Roman"/>
                <w:b w:val="0"/>
                <w:i w:val="0"/>
                <w:sz w:val="20"/>
              </w:rPr>
              <w:t>2.708e-11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CATARACT SUBCAPSULAR</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9.375</w:t>
            </w:r>
          </w:p>
        </w:tc>
        <w:tc>
          <w:tcPr>
            <w:tcW w:type="dxa" w:w="523"/>
          </w:tcPr>
          <w:p>
            <w:r/>
            <w:r>
              <w:rPr>
                <w:rFonts w:ascii="Times New Roman" w:hAnsi="Times New Roman" w:eastAsia="Times New Roman"/>
                <w:b w:val="0"/>
                <w:i w:val="0"/>
                <w:sz w:val="20"/>
              </w:rPr>
              <w:t>3.013</w:t>
            </w:r>
          </w:p>
        </w:tc>
        <w:tc>
          <w:tcPr>
            <w:tcW w:type="dxa" w:w="523"/>
          </w:tcPr>
          <w:p>
            <w:r/>
            <w:r>
              <w:rPr>
                <w:rFonts w:ascii="Times New Roman" w:hAnsi="Times New Roman" w:eastAsia="Times New Roman"/>
                <w:b w:val="0"/>
                <w:i w:val="0"/>
                <w:sz w:val="20"/>
              </w:rPr>
              <w:t>29.18</w:t>
            </w:r>
          </w:p>
        </w:tc>
        <w:tc>
          <w:tcPr>
            <w:tcW w:type="dxa" w:w="523"/>
          </w:tcPr>
          <w:p>
            <w:r/>
            <w:r>
              <w:rPr>
                <w:rFonts w:ascii="Times New Roman" w:hAnsi="Times New Roman" w:eastAsia="Times New Roman"/>
                <w:b w:val="0"/>
                <w:i w:val="0"/>
                <w:sz w:val="20"/>
              </w:rPr>
              <w:t>9.374</w:t>
            </w:r>
          </w:p>
        </w:tc>
        <w:tc>
          <w:tcPr>
            <w:tcW w:type="dxa" w:w="523"/>
          </w:tcPr>
          <w:p>
            <w:r/>
            <w:r>
              <w:rPr>
                <w:rFonts w:ascii="Times New Roman" w:hAnsi="Times New Roman" w:eastAsia="Times New Roman"/>
                <w:b w:val="0"/>
                <w:i w:val="0"/>
                <w:sz w:val="20"/>
              </w:rPr>
              <w:t>14.75</w:t>
            </w:r>
          </w:p>
        </w:tc>
        <w:tc>
          <w:tcPr>
            <w:tcW w:type="dxa" w:w="523"/>
          </w:tcPr>
          <w:p>
            <w:r/>
            <w:r>
              <w:rPr>
                <w:rFonts w:ascii="Times New Roman" w:hAnsi="Times New Roman" w:eastAsia="Times New Roman"/>
                <w:b w:val="0"/>
                <w:i w:val="0"/>
                <w:sz w:val="20"/>
              </w:rPr>
              <w:t>1.305</w:t>
            </w:r>
          </w:p>
        </w:tc>
        <w:tc>
          <w:tcPr>
            <w:tcW w:type="dxa" w:w="523"/>
          </w:tcPr>
          <w:p>
            <w:r/>
            <w:r>
              <w:rPr>
                <w:rFonts w:ascii="Times New Roman" w:hAnsi="Times New Roman" w:eastAsia="Times New Roman"/>
                <w:b w:val="0"/>
                <w:i w:val="0"/>
                <w:sz w:val="20"/>
              </w:rPr>
              <w:t>1.319</w:t>
            </w:r>
          </w:p>
        </w:tc>
        <w:tc>
          <w:tcPr>
            <w:tcW w:type="dxa" w:w="523"/>
          </w:tcPr>
          <w:p>
            <w:r/>
            <w:r>
              <w:rPr>
                <w:rFonts w:ascii="Times New Roman" w:hAnsi="Times New Roman" w:eastAsia="Times New Roman"/>
                <w:b w:val="0"/>
                <w:i w:val="0"/>
                <w:sz w:val="20"/>
              </w:rPr>
              <w:t>0.0003342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FIELD DEFECT</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32</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5087</w:t>
            </w:r>
          </w:p>
        </w:tc>
        <w:tc>
          <w:tcPr>
            <w:tcW w:type="dxa" w:w="523"/>
          </w:tcPr>
          <w:p>
            <w:r/>
            <w:r>
              <w:rPr>
                <w:rFonts w:ascii="Times New Roman" w:hAnsi="Times New Roman" w:eastAsia="Times New Roman"/>
                <w:b w:val="0"/>
                <w:i w:val="0"/>
                <w:sz w:val="20"/>
              </w:rPr>
              <w:t>9.335</w:t>
            </w:r>
          </w:p>
        </w:tc>
        <w:tc>
          <w:tcPr>
            <w:tcW w:type="dxa" w:w="523"/>
          </w:tcPr>
          <w:p>
            <w:r/>
            <w:r>
              <w:rPr>
                <w:rFonts w:ascii="Times New Roman" w:hAnsi="Times New Roman" w:eastAsia="Times New Roman"/>
                <w:b w:val="0"/>
                <w:i w:val="0"/>
                <w:sz w:val="20"/>
              </w:rPr>
              <w:t>6.592</w:t>
            </w:r>
          </w:p>
        </w:tc>
        <w:tc>
          <w:tcPr>
            <w:tcW w:type="dxa" w:w="523"/>
          </w:tcPr>
          <w:p>
            <w:r/>
            <w:r>
              <w:rPr>
                <w:rFonts w:ascii="Times New Roman" w:hAnsi="Times New Roman" w:eastAsia="Times New Roman"/>
                <w:b w:val="0"/>
                <w:i w:val="0"/>
                <w:sz w:val="20"/>
              </w:rPr>
              <w:t>13.22</w:t>
            </w:r>
          </w:p>
        </w:tc>
        <w:tc>
          <w:tcPr>
            <w:tcW w:type="dxa" w:w="523"/>
          </w:tcPr>
          <w:p>
            <w:r/>
            <w:r>
              <w:rPr>
                <w:rFonts w:ascii="Times New Roman" w:hAnsi="Times New Roman" w:eastAsia="Times New Roman"/>
                <w:b w:val="0"/>
                <w:i w:val="0"/>
                <w:sz w:val="20"/>
              </w:rPr>
              <w:t>9.316</w:t>
            </w:r>
          </w:p>
        </w:tc>
        <w:tc>
          <w:tcPr>
            <w:tcW w:type="dxa" w:w="523"/>
          </w:tcPr>
          <w:p>
            <w:r/>
            <w:r>
              <w:rPr>
                <w:rFonts w:ascii="Times New Roman" w:hAnsi="Times New Roman" w:eastAsia="Times New Roman"/>
                <w:b w:val="0"/>
                <w:i w:val="0"/>
                <w:sz w:val="20"/>
              </w:rPr>
              <w:t>227.9</w:t>
            </w:r>
          </w:p>
        </w:tc>
        <w:tc>
          <w:tcPr>
            <w:tcW w:type="dxa" w:w="523"/>
          </w:tcPr>
          <w:p>
            <w:r/>
            <w:r>
              <w:rPr>
                <w:rFonts w:ascii="Times New Roman" w:hAnsi="Times New Roman" w:eastAsia="Times New Roman"/>
                <w:b w:val="0"/>
                <w:i w:val="0"/>
                <w:sz w:val="20"/>
              </w:rPr>
              <w:t>2.867</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1.581e-50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ICTERUS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3017</w:t>
            </w:r>
          </w:p>
        </w:tc>
        <w:tc>
          <w:tcPr>
            <w:tcW w:type="dxa" w:w="523"/>
          </w:tcPr>
          <w:p>
            <w:r/>
            <w:r>
              <w:rPr>
                <w:rFonts w:ascii="Times New Roman" w:hAnsi="Times New Roman" w:eastAsia="Times New Roman"/>
                <w:b w:val="0"/>
                <w:i w:val="0"/>
                <w:sz w:val="20"/>
              </w:rPr>
              <w:t>8.843</w:t>
            </w:r>
          </w:p>
        </w:tc>
        <w:tc>
          <w:tcPr>
            <w:tcW w:type="dxa" w:w="523"/>
          </w:tcPr>
          <w:p>
            <w:r/>
            <w:r>
              <w:rPr>
                <w:rFonts w:ascii="Times New Roman" w:hAnsi="Times New Roman" w:eastAsia="Times New Roman"/>
                <w:b w:val="0"/>
                <w:i w:val="0"/>
                <w:sz w:val="20"/>
              </w:rPr>
              <w:t>5.562</w:t>
            </w:r>
          </w:p>
        </w:tc>
        <w:tc>
          <w:tcPr>
            <w:tcW w:type="dxa" w:w="523"/>
          </w:tcPr>
          <w:p>
            <w:r/>
            <w:r>
              <w:rPr>
                <w:rFonts w:ascii="Times New Roman" w:hAnsi="Times New Roman" w:eastAsia="Times New Roman"/>
                <w:b w:val="0"/>
                <w:i w:val="0"/>
                <w:sz w:val="20"/>
              </w:rPr>
              <w:t>14.06</w:t>
            </w:r>
          </w:p>
        </w:tc>
        <w:tc>
          <w:tcPr>
            <w:tcW w:type="dxa" w:w="523"/>
          </w:tcPr>
          <w:p>
            <w:r/>
            <w:r>
              <w:rPr>
                <w:rFonts w:ascii="Times New Roman" w:hAnsi="Times New Roman" w:eastAsia="Times New Roman"/>
                <w:b w:val="0"/>
                <w:i w:val="0"/>
                <w:sz w:val="20"/>
              </w:rPr>
              <w:t>8.833</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2.613</w:t>
            </w:r>
          </w:p>
        </w:tc>
        <w:tc>
          <w:tcPr>
            <w:tcW w:type="dxa" w:w="523"/>
          </w:tcPr>
          <w:p>
            <w:r/>
            <w:r>
              <w:rPr>
                <w:rFonts w:ascii="Times New Roman" w:hAnsi="Times New Roman" w:eastAsia="Times New Roman"/>
                <w:b w:val="0"/>
                <w:i w:val="0"/>
                <w:sz w:val="20"/>
              </w:rPr>
              <w:t>4.723</w:t>
            </w:r>
          </w:p>
        </w:tc>
        <w:tc>
          <w:tcPr>
            <w:tcW w:type="dxa" w:w="523"/>
          </w:tcPr>
          <w:p>
            <w:r/>
            <w:r>
              <w:rPr>
                <w:rFonts w:ascii="Times New Roman" w:hAnsi="Times New Roman" w:eastAsia="Times New Roman"/>
                <w:b w:val="0"/>
                <w:i w:val="0"/>
                <w:sz w:val="20"/>
              </w:rPr>
              <w:t>1.973e-26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OCULOGYRIC CRISIS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1742</w:t>
            </w:r>
          </w:p>
        </w:tc>
        <w:tc>
          <w:tcPr>
            <w:tcW w:type="dxa" w:w="523"/>
          </w:tcPr>
          <w:p>
            <w:r/>
            <w:r>
              <w:rPr>
                <w:rFonts w:ascii="Times New Roman" w:hAnsi="Times New Roman" w:eastAsia="Times New Roman"/>
                <w:b w:val="0"/>
                <w:i w:val="0"/>
                <w:sz w:val="20"/>
              </w:rPr>
              <w:t>8.502</w:t>
            </w:r>
          </w:p>
        </w:tc>
        <w:tc>
          <w:tcPr>
            <w:tcW w:type="dxa" w:w="523"/>
          </w:tcPr>
          <w:p>
            <w:r/>
            <w:r>
              <w:rPr>
                <w:rFonts w:ascii="Times New Roman" w:hAnsi="Times New Roman" w:eastAsia="Times New Roman"/>
                <w:b w:val="0"/>
                <w:i w:val="0"/>
                <w:sz w:val="20"/>
              </w:rPr>
              <w:t>4.566</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8.497</w:t>
            </w:r>
          </w:p>
        </w:tc>
        <w:tc>
          <w:tcPr>
            <w:tcW w:type="dxa" w:w="523"/>
          </w:tcPr>
          <w:p>
            <w:r/>
            <w:r>
              <w:rPr>
                <w:rFonts w:ascii="Times New Roman" w:hAnsi="Times New Roman" w:eastAsia="Times New Roman"/>
                <w:b w:val="0"/>
                <w:i w:val="0"/>
                <w:sz w:val="20"/>
              </w:rPr>
              <w:t>58.52</w:t>
            </w:r>
          </w:p>
        </w:tc>
        <w:tc>
          <w:tcPr>
            <w:tcW w:type="dxa" w:w="523"/>
          </w:tcPr>
          <w:p>
            <w:r/>
            <w:r>
              <w:rPr>
                <w:rFonts w:ascii="Times New Roman" w:hAnsi="Times New Roman" w:eastAsia="Times New Roman"/>
                <w:b w:val="0"/>
                <w:i w:val="0"/>
                <w:sz w:val="20"/>
              </w:rPr>
              <w:t>2.28</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7.901e-14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OPACITY</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1046</w:t>
            </w:r>
          </w:p>
        </w:tc>
        <w:tc>
          <w:tcPr>
            <w:tcW w:type="dxa" w:w="523"/>
          </w:tcPr>
          <w:p>
            <w:r/>
            <w:r>
              <w:rPr>
                <w:rFonts w:ascii="Times New Roman" w:hAnsi="Times New Roman" w:eastAsia="Times New Roman"/>
                <w:b w:val="0"/>
                <w:i w:val="0"/>
                <w:sz w:val="20"/>
              </w:rPr>
              <w:t>8.494</w:t>
            </w:r>
          </w:p>
        </w:tc>
        <w:tc>
          <w:tcPr>
            <w:tcW w:type="dxa" w:w="523"/>
          </w:tcPr>
          <w:p>
            <w:r/>
            <w:r>
              <w:rPr>
                <w:rFonts w:ascii="Times New Roman" w:hAnsi="Times New Roman" w:eastAsia="Times New Roman"/>
                <w:b w:val="0"/>
                <w:i w:val="0"/>
                <w:sz w:val="20"/>
              </w:rPr>
              <w:t>3.806</w:t>
            </w:r>
          </w:p>
        </w:tc>
        <w:tc>
          <w:tcPr>
            <w:tcW w:type="dxa" w:w="523"/>
          </w:tcPr>
          <w:p>
            <w:r/>
            <w:r>
              <w:rPr>
                <w:rFonts w:ascii="Times New Roman" w:hAnsi="Times New Roman" w:eastAsia="Times New Roman"/>
                <w:b w:val="0"/>
                <w:i w:val="0"/>
                <w:sz w:val="20"/>
              </w:rPr>
              <w:t>18.95</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32.32</w:t>
            </w:r>
          </w:p>
        </w:tc>
        <w:tc>
          <w:tcPr>
            <w:tcW w:type="dxa" w:w="523"/>
          </w:tcPr>
          <w:p>
            <w:r/>
            <w:r>
              <w:rPr>
                <w:rFonts w:ascii="Times New Roman" w:hAnsi="Times New Roman" w:eastAsia="Times New Roman"/>
                <w:b w:val="0"/>
                <w:i w:val="0"/>
                <w:sz w:val="20"/>
              </w:rPr>
              <w:t>1.922</w:t>
            </w:r>
          </w:p>
        </w:tc>
        <w:tc>
          <w:tcPr>
            <w:tcW w:type="dxa" w:w="523"/>
          </w:tcPr>
          <w:p>
            <w:r/>
            <w:r>
              <w:rPr>
                <w:rFonts w:ascii="Times New Roman" w:hAnsi="Times New Roman" w:eastAsia="Times New Roman"/>
                <w:b w:val="0"/>
                <w:i w:val="0"/>
                <w:sz w:val="20"/>
              </w:rPr>
              <w:t>2.434</w:t>
            </w:r>
          </w:p>
        </w:tc>
        <w:tc>
          <w:tcPr>
            <w:tcW w:type="dxa" w:w="523"/>
          </w:tcPr>
          <w:p>
            <w:r/>
            <w:r>
              <w:rPr>
                <w:rFonts w:ascii="Times New Roman" w:hAnsi="Times New Roman" w:eastAsia="Times New Roman"/>
                <w:b w:val="0"/>
                <w:i w:val="0"/>
                <w:sz w:val="20"/>
              </w:rPr>
              <w:t>4.055e-08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PAPILLOEDEMA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3338</w:t>
            </w:r>
          </w:p>
        </w:tc>
        <w:tc>
          <w:tcPr>
            <w:tcW w:type="dxa" w:w="523"/>
          </w:tcPr>
          <w:p>
            <w:r/>
            <w:r>
              <w:rPr>
                <w:rFonts w:ascii="Times New Roman" w:hAnsi="Times New Roman" w:eastAsia="Times New Roman"/>
                <w:b w:val="0"/>
                <w:i w:val="0"/>
                <w:sz w:val="20"/>
              </w:rPr>
              <w:t>8.435</w:t>
            </w:r>
          </w:p>
        </w:tc>
        <w:tc>
          <w:tcPr>
            <w:tcW w:type="dxa" w:w="523"/>
          </w:tcPr>
          <w:p>
            <w:r/>
            <w:r>
              <w:rPr>
                <w:rFonts w:ascii="Times New Roman" w:hAnsi="Times New Roman" w:eastAsia="Times New Roman"/>
                <w:b w:val="0"/>
                <w:i w:val="0"/>
                <w:sz w:val="20"/>
              </w:rPr>
              <w:t>5.372</w:t>
            </w:r>
          </w:p>
        </w:tc>
        <w:tc>
          <w:tcPr>
            <w:tcW w:type="dxa" w:w="523"/>
          </w:tcPr>
          <w:p>
            <w:r/>
            <w:r>
              <w:rPr>
                <w:rFonts w:ascii="Times New Roman" w:hAnsi="Times New Roman" w:eastAsia="Times New Roman"/>
                <w:b w:val="0"/>
                <w:i w:val="0"/>
                <w:sz w:val="20"/>
              </w:rPr>
              <w:t>13.24</w:t>
            </w:r>
          </w:p>
        </w:tc>
        <w:tc>
          <w:tcPr>
            <w:tcW w:type="dxa" w:w="523"/>
          </w:tcPr>
          <w:p>
            <w:r/>
            <w:r>
              <w:rPr>
                <w:rFonts w:ascii="Times New Roman" w:hAnsi="Times New Roman" w:eastAsia="Times New Roman"/>
                <w:b w:val="0"/>
                <w:i w:val="0"/>
                <w:sz w:val="20"/>
              </w:rPr>
              <w:t>8.425</w:t>
            </w:r>
          </w:p>
        </w:tc>
        <w:tc>
          <w:tcPr>
            <w:tcW w:type="dxa" w:w="523"/>
          </w:tcPr>
          <w:p>
            <w:r/>
            <w:r>
              <w:rPr>
                <w:rFonts w:ascii="Times New Roman" w:hAnsi="Times New Roman" w:eastAsia="Times New Roman"/>
                <w:b w:val="0"/>
                <w:i w:val="0"/>
                <w:sz w:val="20"/>
              </w:rPr>
              <w:t>116.4</w:t>
            </w:r>
          </w:p>
        </w:tc>
        <w:tc>
          <w:tcPr>
            <w:tcW w:type="dxa" w:w="523"/>
          </w:tcPr>
          <w:p>
            <w:r/>
            <w:r>
              <w:rPr>
                <w:rFonts w:ascii="Times New Roman" w:hAnsi="Times New Roman" w:eastAsia="Times New Roman"/>
                <w:b w:val="0"/>
                <w:i w:val="0"/>
                <w:sz w:val="20"/>
              </w:rPr>
              <w:t>2.575</w:t>
            </w:r>
          </w:p>
        </w:tc>
        <w:tc>
          <w:tcPr>
            <w:tcW w:type="dxa" w:w="523"/>
          </w:tcPr>
          <w:p>
            <w:r/>
            <w:r>
              <w:rPr>
                <w:rFonts w:ascii="Times New Roman" w:hAnsi="Times New Roman" w:eastAsia="Times New Roman"/>
                <w:b w:val="0"/>
                <w:i w:val="0"/>
                <w:sz w:val="20"/>
              </w:rPr>
              <w:t>4.644</w:t>
            </w:r>
          </w:p>
        </w:tc>
        <w:tc>
          <w:tcPr>
            <w:tcW w:type="dxa" w:w="523"/>
          </w:tcPr>
          <w:p>
            <w:r/>
            <w:r>
              <w:rPr>
                <w:rFonts w:ascii="Times New Roman" w:hAnsi="Times New Roman" w:eastAsia="Times New Roman"/>
                <w:b w:val="0"/>
                <w:i w:val="0"/>
                <w:sz w:val="20"/>
              </w:rPr>
              <w:t>2.194e-26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PUPILLARY REFLEX IMPAIRED</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1079</w:t>
            </w:r>
          </w:p>
        </w:tc>
        <w:tc>
          <w:tcPr>
            <w:tcW w:type="dxa" w:w="523"/>
          </w:tcPr>
          <w:p>
            <w:r/>
            <w:r>
              <w:rPr>
                <w:rFonts w:ascii="Times New Roman" w:hAnsi="Times New Roman" w:eastAsia="Times New Roman"/>
                <w:b w:val="0"/>
                <w:i w:val="0"/>
                <w:sz w:val="20"/>
              </w:rPr>
              <w:t>8.232</w:t>
            </w:r>
          </w:p>
        </w:tc>
        <w:tc>
          <w:tcPr>
            <w:tcW w:type="dxa" w:w="523"/>
          </w:tcPr>
          <w:p>
            <w:r/>
            <w:r>
              <w:rPr>
                <w:rFonts w:ascii="Times New Roman" w:hAnsi="Times New Roman" w:eastAsia="Times New Roman"/>
                <w:b w:val="0"/>
                <w:i w:val="0"/>
                <w:sz w:val="20"/>
              </w:rPr>
              <w:t>3.69</w:t>
            </w:r>
          </w:p>
        </w:tc>
        <w:tc>
          <w:tcPr>
            <w:tcW w:type="dxa" w:w="523"/>
          </w:tcPr>
          <w:p>
            <w:r/>
            <w:r>
              <w:rPr>
                <w:rFonts w:ascii="Times New Roman" w:hAnsi="Times New Roman" w:eastAsia="Times New Roman"/>
                <w:b w:val="0"/>
                <w:i w:val="0"/>
                <w:sz w:val="20"/>
              </w:rPr>
              <w:t>18.37</w:t>
            </w:r>
          </w:p>
        </w:tc>
        <w:tc>
          <w:tcPr>
            <w:tcW w:type="dxa" w:w="523"/>
          </w:tcPr>
          <w:p>
            <w:r/>
            <w:r>
              <w:rPr>
                <w:rFonts w:ascii="Times New Roman" w:hAnsi="Times New Roman" w:eastAsia="Times New Roman"/>
                <w:b w:val="0"/>
                <w:i w:val="0"/>
                <w:sz w:val="20"/>
              </w:rPr>
              <w:t>8.229</w:t>
            </w:r>
          </w:p>
        </w:tc>
        <w:tc>
          <w:tcPr>
            <w:tcW w:type="dxa" w:w="523"/>
          </w:tcPr>
          <w:p>
            <w:r/>
            <w:r>
              <w:rPr>
                <w:rFonts w:ascii="Times New Roman" w:hAnsi="Times New Roman" w:eastAsia="Times New Roman"/>
                <w:b w:val="0"/>
                <w:i w:val="0"/>
                <w:sz w:val="20"/>
              </w:rPr>
              <w:t>31.04</w:t>
            </w:r>
          </w:p>
        </w:tc>
        <w:tc>
          <w:tcPr>
            <w:tcW w:type="dxa" w:w="523"/>
          </w:tcPr>
          <w:p>
            <w:r/>
            <w:r>
              <w:rPr>
                <w:rFonts w:ascii="Times New Roman" w:hAnsi="Times New Roman" w:eastAsia="Times New Roman"/>
                <w:b w:val="0"/>
                <w:i w:val="0"/>
                <w:sz w:val="20"/>
              </w:rPr>
              <w:t>1.893</w:t>
            </w:r>
          </w:p>
        </w:tc>
        <w:tc>
          <w:tcPr>
            <w:tcW w:type="dxa" w:w="523"/>
          </w:tcPr>
          <w:p>
            <w:r/>
            <w:r>
              <w:rPr>
                <w:rFonts w:ascii="Times New Roman" w:hAnsi="Times New Roman" w:eastAsia="Times New Roman"/>
                <w:b w:val="0"/>
                <w:i w:val="0"/>
                <w:sz w:val="20"/>
              </w:rPr>
              <w:t>2.39</w:t>
            </w:r>
          </w:p>
        </w:tc>
        <w:tc>
          <w:tcPr>
            <w:tcW w:type="dxa" w:w="523"/>
          </w:tcPr>
          <w:p>
            <w:r/>
            <w:r>
              <w:rPr>
                <w:rFonts w:ascii="Times New Roman" w:hAnsi="Times New Roman" w:eastAsia="Times New Roman"/>
                <w:b w:val="0"/>
                <w:i w:val="0"/>
                <w:sz w:val="20"/>
              </w:rPr>
              <w:t>7.707e-08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  (Showing the first 30 of 33 rows; the complete table is in Table5_hubs.csv.)</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  (Showing the first 30 of 36 rows; the complete table is in Table6_enrichment.csv.)</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(main panel, 10 exposures x 6 optic-nerve and visual outcomes).  (Showing the first 30 of 60 rows; the complete table is in Table8_mr.csv.)</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9. Robustness of the disproportionality conclusions across four specifications.  (Showing the first 30 of 40 rows; the complete table is in Table9_robustness.csv.)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