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A9" w:rsidRDefault="006145BC" w:rsidP="009B65A9">
      <w:pPr>
        <w:pStyle w:val="Title"/>
        <w:jc w:val="center"/>
      </w:pPr>
      <w:bookmarkStart w:id="0" w:name="_GoBack"/>
      <w:bookmarkEnd w:id="0"/>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Revisor</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A6478">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634CFE">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634CFE">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634CFE">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4349BB">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4349BB">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 xml:space="preserve">La planificación estará enlazada con varios servicios en la nube, permitiendo </w:t>
      </w:r>
      <w:r w:rsidR="00932B94">
        <w:t>alinear y organizar</w:t>
      </w:r>
      <w:r>
        <w:t xml:space="preserve"> ésta </w:t>
      </w:r>
      <w:r w:rsidR="00932B94">
        <w:t>con</w:t>
      </w:r>
      <w:r>
        <w:t xml:space="preserve"> el quehacer diario del docente a través del uso de la</w:t>
      </w:r>
      <w:r w:rsidR="00B7243F">
        <w:t xml:space="preserve"> </w:t>
      </w:r>
      <w:r w:rsidRPr="007F4B71">
        <w:rPr>
          <w:i/>
        </w:rPr>
        <w:t>API Google Calendar</w:t>
      </w:r>
      <w:r>
        <w:t xml:space="preserve">, implicando </w:t>
      </w:r>
      <w:r w:rsidR="006519CB">
        <w:t>de esta forma el uso indispensable de</w:t>
      </w:r>
      <w:r>
        <w:t xml:space="preserve"> una cuenta </w:t>
      </w:r>
      <w:r w:rsidR="006519CB">
        <w:t>basada en los servicios de</w:t>
      </w:r>
      <w:r>
        <w:t xml:space="preserve"> </w:t>
      </w:r>
      <w:r>
        <w:rPr>
          <w:i/>
        </w:rPr>
        <w:t>Google</w:t>
      </w:r>
      <w:r>
        <w:t xml:space="preserve"> </w:t>
      </w:r>
      <w:r w:rsidR="006519CB">
        <w:t xml:space="preserve">para poder utilizar el módulo de planificación </w:t>
      </w:r>
      <w:r w:rsidR="00A41975">
        <w:t>educativa a plenitud</w:t>
      </w:r>
      <w:r>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50225D">
        <w:t xml:space="preserve"> </w:t>
      </w:r>
      <w:r w:rsidR="0050225D" w:rsidRPr="0050225D">
        <w:rPr>
          <w:i/>
        </w:rPr>
        <w:t>API</w:t>
      </w:r>
      <w:r w:rsidR="008A1655">
        <w:rPr>
          <w:i/>
        </w:rPr>
        <w:t xml:space="preserve"> </w:t>
      </w:r>
      <w:r w:rsidR="0050225D" w:rsidRPr="0050225D">
        <w:rPr>
          <w:i/>
        </w:rPr>
        <w:t xml:space="preserve">Google </w:t>
      </w:r>
      <w:r w:rsidR="008E27BF">
        <w:rPr>
          <w:i/>
        </w:rPr>
        <w:t>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cuales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534E9A">
        <w:fldChar w:fldCharType="begin"/>
      </w:r>
      <w:r w:rsidR="00534E9A">
        <w:instrText xml:space="preserve"> SEQ Gráfica \* ARABIC </w:instrText>
      </w:r>
      <w:r w:rsidR="00534E9A">
        <w:fldChar w:fldCharType="separate"/>
      </w:r>
      <w:r w:rsidR="00AF37C2">
        <w:rPr>
          <w:noProof/>
        </w:rPr>
        <w:t>1</w:t>
      </w:r>
      <w:r w:rsidR="00534E9A">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534E9A">
        <w:fldChar w:fldCharType="begin"/>
      </w:r>
      <w:r w:rsidR="00534E9A">
        <w:instrText xml:space="preserve"> SEQ Gráfica \* ARABIC </w:instrText>
      </w:r>
      <w:r w:rsidR="00534E9A">
        <w:fldChar w:fldCharType="separate"/>
      </w:r>
      <w:r w:rsidR="00AF37C2">
        <w:rPr>
          <w:noProof/>
        </w:rPr>
        <w:t>2</w:t>
      </w:r>
      <w:r w:rsidR="00534E9A">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534E9A">
        <w:fldChar w:fldCharType="begin"/>
      </w:r>
      <w:r w:rsidR="00534E9A">
        <w:instrText xml:space="preserve"> SEQ Figura \* ARABIC </w:instrText>
      </w:r>
      <w:r w:rsidR="00534E9A">
        <w:fldChar w:fldCharType="separate"/>
      </w:r>
      <w:r w:rsidR="00AF37C2">
        <w:rPr>
          <w:noProof/>
        </w:rPr>
        <w:t>1</w:t>
      </w:r>
      <w:r w:rsidR="00534E9A">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534E9A">
        <w:fldChar w:fldCharType="begin"/>
      </w:r>
      <w:r w:rsidR="00534E9A">
        <w:instrText xml:space="preserve"> SEQ Tabla \* ARABIC </w:instrText>
      </w:r>
      <w:r w:rsidR="00534E9A">
        <w:fldChar w:fldCharType="separate"/>
      </w:r>
      <w:r w:rsidR="00AF37C2">
        <w:rPr>
          <w:noProof/>
        </w:rPr>
        <w:t>1</w:t>
      </w:r>
      <w:r w:rsidR="00534E9A">
        <w:rPr>
          <w:noProof/>
        </w:rPr>
        <w:fldChar w:fldCharType="end"/>
      </w:r>
      <w:r>
        <w:t>. Etapas y actividades desarrolladas bajo el modelo cascada. Referencia: elaboración propia.</w:t>
      </w:r>
    </w:p>
    <w:p w:rsidR="008D36BD" w:rsidRPr="008D36BD" w:rsidRDefault="008D36BD" w:rsidP="008D36BD"/>
    <w:p w:rsidR="00D77051" w:rsidRDefault="00D77051" w:rsidP="00CF6890">
      <w:pPr>
        <w:pStyle w:val="Heading1"/>
        <w:spacing w:before="120"/>
      </w:pPr>
      <w:r>
        <w:t>REFERENCIAS BIBLIOGRÁFICAS</w:t>
      </w:r>
    </w:p>
    <w:sdt>
      <w:sdtPr>
        <w:id w:val="-1471204805"/>
        <w:docPartObj>
          <w:docPartGallery w:val="Bibliographies"/>
          <w:docPartUnique/>
        </w:docPartObj>
      </w:sdtPr>
      <w:sdtEndPr/>
      <w:sdtContent>
        <w:p w:rsidR="00AF3C5C" w:rsidRDefault="00AF3C5C" w:rsidP="00AF3C5C"/>
        <w:sdt>
          <w:sdtPr>
            <w:id w:val="-573587230"/>
            <w:bibliography/>
          </w:sdtPr>
          <w:sdtEnd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w:t>
              </w:r>
              <w:r>
                <w:rPr>
                  <w:noProof/>
                </w:rPr>
                <w:lastRenderedPageBreak/>
                <w:t>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lastRenderedPageBreak/>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E9A" w:rsidRDefault="00534E9A" w:rsidP="004F0862">
      <w:pPr>
        <w:spacing w:after="0" w:line="240" w:lineRule="auto"/>
      </w:pPr>
      <w:r>
        <w:separator/>
      </w:r>
    </w:p>
  </w:endnote>
  <w:endnote w:type="continuationSeparator" w:id="0">
    <w:p w:rsidR="00534E9A" w:rsidRDefault="00534E9A"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E9A" w:rsidRDefault="00534E9A" w:rsidP="004F0862">
      <w:pPr>
        <w:spacing w:after="0" w:line="240" w:lineRule="auto"/>
      </w:pPr>
      <w:r>
        <w:separator/>
      </w:r>
    </w:p>
  </w:footnote>
  <w:footnote w:type="continuationSeparator" w:id="0">
    <w:p w:rsidR="00534E9A" w:rsidRDefault="00534E9A" w:rsidP="004F0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41F14"/>
    <w:rsid w:val="00042A6C"/>
    <w:rsid w:val="0004408B"/>
    <w:rsid w:val="000440C9"/>
    <w:rsid w:val="00046696"/>
    <w:rsid w:val="00046A1D"/>
    <w:rsid w:val="00052C4C"/>
    <w:rsid w:val="000541C5"/>
    <w:rsid w:val="00055530"/>
    <w:rsid w:val="00061233"/>
    <w:rsid w:val="00062212"/>
    <w:rsid w:val="000642D6"/>
    <w:rsid w:val="0006614F"/>
    <w:rsid w:val="000740EA"/>
    <w:rsid w:val="00075984"/>
    <w:rsid w:val="00082FBB"/>
    <w:rsid w:val="0008318F"/>
    <w:rsid w:val="00090E0A"/>
    <w:rsid w:val="0009214F"/>
    <w:rsid w:val="000953F5"/>
    <w:rsid w:val="000957FF"/>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7B"/>
    <w:rsid w:val="000D55F3"/>
    <w:rsid w:val="000D5FD9"/>
    <w:rsid w:val="000E343B"/>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7060B"/>
    <w:rsid w:val="00173D92"/>
    <w:rsid w:val="00176D1D"/>
    <w:rsid w:val="00184482"/>
    <w:rsid w:val="001844C7"/>
    <w:rsid w:val="00186534"/>
    <w:rsid w:val="0019428C"/>
    <w:rsid w:val="00196080"/>
    <w:rsid w:val="001A30F2"/>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7D37"/>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607F1"/>
    <w:rsid w:val="002642C0"/>
    <w:rsid w:val="00271B4D"/>
    <w:rsid w:val="002801E1"/>
    <w:rsid w:val="002810EF"/>
    <w:rsid w:val="00281D8E"/>
    <w:rsid w:val="002823A4"/>
    <w:rsid w:val="00282A9C"/>
    <w:rsid w:val="00286BED"/>
    <w:rsid w:val="002878DE"/>
    <w:rsid w:val="00291453"/>
    <w:rsid w:val="002B1DC0"/>
    <w:rsid w:val="002B1F12"/>
    <w:rsid w:val="002B29C9"/>
    <w:rsid w:val="002B4349"/>
    <w:rsid w:val="002B60FF"/>
    <w:rsid w:val="002C02AE"/>
    <w:rsid w:val="002C0C6F"/>
    <w:rsid w:val="002C126F"/>
    <w:rsid w:val="002C293E"/>
    <w:rsid w:val="002C2E13"/>
    <w:rsid w:val="002C6277"/>
    <w:rsid w:val="002C66C5"/>
    <w:rsid w:val="002D362D"/>
    <w:rsid w:val="002D48E2"/>
    <w:rsid w:val="002E2094"/>
    <w:rsid w:val="002F04E4"/>
    <w:rsid w:val="002F2557"/>
    <w:rsid w:val="0030352E"/>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771D"/>
    <w:rsid w:val="004B1499"/>
    <w:rsid w:val="004B1ECF"/>
    <w:rsid w:val="004B3D78"/>
    <w:rsid w:val="004B445C"/>
    <w:rsid w:val="004C22A2"/>
    <w:rsid w:val="004C41B4"/>
    <w:rsid w:val="004C6F79"/>
    <w:rsid w:val="004D3E4B"/>
    <w:rsid w:val="004D45D3"/>
    <w:rsid w:val="004D472E"/>
    <w:rsid w:val="004D538F"/>
    <w:rsid w:val="004E4A6C"/>
    <w:rsid w:val="004E78E2"/>
    <w:rsid w:val="004E7A1A"/>
    <w:rsid w:val="004F0862"/>
    <w:rsid w:val="004F2ED6"/>
    <w:rsid w:val="004F3919"/>
    <w:rsid w:val="004F7995"/>
    <w:rsid w:val="00501B91"/>
    <w:rsid w:val="0050225D"/>
    <w:rsid w:val="0050477B"/>
    <w:rsid w:val="00505501"/>
    <w:rsid w:val="00506138"/>
    <w:rsid w:val="00507090"/>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610F"/>
    <w:rsid w:val="005663A0"/>
    <w:rsid w:val="00571DF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67A2"/>
    <w:rsid w:val="0064159C"/>
    <w:rsid w:val="00641A25"/>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E7B"/>
    <w:rsid w:val="006A1288"/>
    <w:rsid w:val="006A1853"/>
    <w:rsid w:val="006A317A"/>
    <w:rsid w:val="006A44A6"/>
    <w:rsid w:val="006B47B5"/>
    <w:rsid w:val="006B5505"/>
    <w:rsid w:val="006B598A"/>
    <w:rsid w:val="006B6BC0"/>
    <w:rsid w:val="006C018F"/>
    <w:rsid w:val="006C2661"/>
    <w:rsid w:val="006C3B1F"/>
    <w:rsid w:val="006C48DB"/>
    <w:rsid w:val="006C5994"/>
    <w:rsid w:val="006C616C"/>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A0C1E"/>
    <w:rsid w:val="007A11FF"/>
    <w:rsid w:val="007A307A"/>
    <w:rsid w:val="007A40C5"/>
    <w:rsid w:val="007A62F2"/>
    <w:rsid w:val="007B0324"/>
    <w:rsid w:val="007B1B51"/>
    <w:rsid w:val="007B1F05"/>
    <w:rsid w:val="007B3CB0"/>
    <w:rsid w:val="007B4B93"/>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F0A47"/>
    <w:rsid w:val="007F1411"/>
    <w:rsid w:val="007F1B4C"/>
    <w:rsid w:val="007F4B71"/>
    <w:rsid w:val="007F5448"/>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4E0A"/>
    <w:rsid w:val="00947941"/>
    <w:rsid w:val="009505E6"/>
    <w:rsid w:val="009524ED"/>
    <w:rsid w:val="00953CE3"/>
    <w:rsid w:val="009566AE"/>
    <w:rsid w:val="00960302"/>
    <w:rsid w:val="00961FAF"/>
    <w:rsid w:val="009644FF"/>
    <w:rsid w:val="00966E24"/>
    <w:rsid w:val="0096756F"/>
    <w:rsid w:val="00971EB8"/>
    <w:rsid w:val="00973211"/>
    <w:rsid w:val="00976B08"/>
    <w:rsid w:val="009811E4"/>
    <w:rsid w:val="00981E78"/>
    <w:rsid w:val="00992DDB"/>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78DA"/>
    <w:rsid w:val="00A019A9"/>
    <w:rsid w:val="00A032A2"/>
    <w:rsid w:val="00A03B86"/>
    <w:rsid w:val="00A050D1"/>
    <w:rsid w:val="00A061CD"/>
    <w:rsid w:val="00A06693"/>
    <w:rsid w:val="00A106AE"/>
    <w:rsid w:val="00A16F71"/>
    <w:rsid w:val="00A17819"/>
    <w:rsid w:val="00A20C55"/>
    <w:rsid w:val="00A21310"/>
    <w:rsid w:val="00A239DE"/>
    <w:rsid w:val="00A35164"/>
    <w:rsid w:val="00A37EA5"/>
    <w:rsid w:val="00A41975"/>
    <w:rsid w:val="00A4291F"/>
    <w:rsid w:val="00A43674"/>
    <w:rsid w:val="00A452B1"/>
    <w:rsid w:val="00A45326"/>
    <w:rsid w:val="00A47024"/>
    <w:rsid w:val="00A511BA"/>
    <w:rsid w:val="00A541A4"/>
    <w:rsid w:val="00A56F28"/>
    <w:rsid w:val="00A57C78"/>
    <w:rsid w:val="00A622DA"/>
    <w:rsid w:val="00A63BB7"/>
    <w:rsid w:val="00A65647"/>
    <w:rsid w:val="00A66F71"/>
    <w:rsid w:val="00A71C49"/>
    <w:rsid w:val="00A72EAF"/>
    <w:rsid w:val="00A7400B"/>
    <w:rsid w:val="00A80001"/>
    <w:rsid w:val="00A816AE"/>
    <w:rsid w:val="00A819FC"/>
    <w:rsid w:val="00A83642"/>
    <w:rsid w:val="00A84978"/>
    <w:rsid w:val="00A85298"/>
    <w:rsid w:val="00A872EA"/>
    <w:rsid w:val="00A87974"/>
    <w:rsid w:val="00A90D6F"/>
    <w:rsid w:val="00A93E5B"/>
    <w:rsid w:val="00AA1F0A"/>
    <w:rsid w:val="00AA25A1"/>
    <w:rsid w:val="00AA5581"/>
    <w:rsid w:val="00AA7CA3"/>
    <w:rsid w:val="00AB4D76"/>
    <w:rsid w:val="00AB5279"/>
    <w:rsid w:val="00AB61B5"/>
    <w:rsid w:val="00AC28BC"/>
    <w:rsid w:val="00AC3DA3"/>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944"/>
    <w:rsid w:val="00B20CF9"/>
    <w:rsid w:val="00B23E2F"/>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4B8A"/>
    <w:rsid w:val="00B7576A"/>
    <w:rsid w:val="00B768E1"/>
    <w:rsid w:val="00B76DD3"/>
    <w:rsid w:val="00B80D4D"/>
    <w:rsid w:val="00B81997"/>
    <w:rsid w:val="00B82B22"/>
    <w:rsid w:val="00B8667E"/>
    <w:rsid w:val="00B8719F"/>
    <w:rsid w:val="00B907B6"/>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2610"/>
    <w:rsid w:val="00BD5975"/>
    <w:rsid w:val="00BE2CE0"/>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33F61"/>
    <w:rsid w:val="00C34F26"/>
    <w:rsid w:val="00C37345"/>
    <w:rsid w:val="00C44121"/>
    <w:rsid w:val="00C46ACB"/>
    <w:rsid w:val="00C51F1B"/>
    <w:rsid w:val="00C54872"/>
    <w:rsid w:val="00C550CE"/>
    <w:rsid w:val="00C5537A"/>
    <w:rsid w:val="00C642C6"/>
    <w:rsid w:val="00C6794C"/>
    <w:rsid w:val="00C71596"/>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F3FF3"/>
    <w:rsid w:val="00CF6890"/>
    <w:rsid w:val="00CF6959"/>
    <w:rsid w:val="00CF6AF3"/>
    <w:rsid w:val="00CF7CCC"/>
    <w:rsid w:val="00D00AC1"/>
    <w:rsid w:val="00D039AA"/>
    <w:rsid w:val="00D111AF"/>
    <w:rsid w:val="00D1150C"/>
    <w:rsid w:val="00D1465F"/>
    <w:rsid w:val="00D1778D"/>
    <w:rsid w:val="00D17922"/>
    <w:rsid w:val="00D17C67"/>
    <w:rsid w:val="00D32A35"/>
    <w:rsid w:val="00D40A7C"/>
    <w:rsid w:val="00D41049"/>
    <w:rsid w:val="00D52601"/>
    <w:rsid w:val="00D53E15"/>
    <w:rsid w:val="00D5402A"/>
    <w:rsid w:val="00D57228"/>
    <w:rsid w:val="00D62181"/>
    <w:rsid w:val="00D625AC"/>
    <w:rsid w:val="00D65AA2"/>
    <w:rsid w:val="00D71EC0"/>
    <w:rsid w:val="00D73FFD"/>
    <w:rsid w:val="00D74D8D"/>
    <w:rsid w:val="00D769C3"/>
    <w:rsid w:val="00D77051"/>
    <w:rsid w:val="00D826D0"/>
    <w:rsid w:val="00D8371B"/>
    <w:rsid w:val="00D84779"/>
    <w:rsid w:val="00D877CD"/>
    <w:rsid w:val="00D96C40"/>
    <w:rsid w:val="00D974EB"/>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2463"/>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E50"/>
    <w:rsid w:val="00E813DD"/>
    <w:rsid w:val="00E81456"/>
    <w:rsid w:val="00E827F3"/>
    <w:rsid w:val="00E836C2"/>
    <w:rsid w:val="00E84C95"/>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474A"/>
    <w:rsid w:val="00EE51DF"/>
    <w:rsid w:val="00EE732B"/>
    <w:rsid w:val="00EE7F6B"/>
    <w:rsid w:val="00EF1050"/>
    <w:rsid w:val="00EF26ED"/>
    <w:rsid w:val="00EF4D4A"/>
    <w:rsid w:val="00F0333A"/>
    <w:rsid w:val="00F03979"/>
    <w:rsid w:val="00F13693"/>
    <w:rsid w:val="00F142D6"/>
    <w:rsid w:val="00F14777"/>
    <w:rsid w:val="00F16C5E"/>
    <w:rsid w:val="00F208B7"/>
    <w:rsid w:val="00F25844"/>
    <w:rsid w:val="00F44BBD"/>
    <w:rsid w:val="00F46247"/>
    <w:rsid w:val="00F477C0"/>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ser>
        <c:dLbls>
          <c:showLegendKey val="0"/>
          <c:showVal val="0"/>
          <c:showCatName val="0"/>
          <c:showSerName val="0"/>
          <c:showPercent val="0"/>
          <c:showBubbleSize val="0"/>
        </c:dLbls>
        <c:gapWidth val="75"/>
        <c:overlap val="-25"/>
        <c:axId val="182003856"/>
        <c:axId val="182004416"/>
      </c:barChart>
      <c:catAx>
        <c:axId val="182003856"/>
        <c:scaling>
          <c:orientation val="minMax"/>
        </c:scaling>
        <c:delete val="0"/>
        <c:axPos val="b"/>
        <c:numFmt formatCode="General" sourceLinked="0"/>
        <c:majorTickMark val="none"/>
        <c:minorTickMark val="none"/>
        <c:tickLblPos val="nextTo"/>
        <c:crossAx val="182004416"/>
        <c:crosses val="autoZero"/>
        <c:auto val="1"/>
        <c:lblAlgn val="ctr"/>
        <c:lblOffset val="100"/>
        <c:noMultiLvlLbl val="0"/>
      </c:catAx>
      <c:valAx>
        <c:axId val="18200441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18200385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ser>
        <c:dLbls>
          <c:showLegendKey val="0"/>
          <c:showVal val="0"/>
          <c:showCatName val="0"/>
          <c:showSerName val="0"/>
          <c:showPercent val="0"/>
          <c:showBubbleSize val="0"/>
        </c:dLbls>
        <c:gapWidth val="75"/>
        <c:overlap val="-25"/>
        <c:axId val="217650640"/>
        <c:axId val="217651200"/>
      </c:barChart>
      <c:catAx>
        <c:axId val="217650640"/>
        <c:scaling>
          <c:orientation val="minMax"/>
        </c:scaling>
        <c:delete val="0"/>
        <c:axPos val="b"/>
        <c:numFmt formatCode="General" sourceLinked="0"/>
        <c:majorTickMark val="none"/>
        <c:minorTickMark val="none"/>
        <c:tickLblPos val="nextTo"/>
        <c:crossAx val="217651200"/>
        <c:crosses val="autoZero"/>
        <c:auto val="1"/>
        <c:lblAlgn val="ctr"/>
        <c:lblOffset val="100"/>
        <c:noMultiLvlLbl val="0"/>
      </c:catAx>
      <c:valAx>
        <c:axId val="217651200"/>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17650640"/>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7A70B8D0-9EE7-42F0-A037-60A253103CE7}" type="presOf" srcId="{BF1E42D9-C53B-4CC8-8610-5EAF2407ADE3}" destId="{319199EF-994A-41A6-B43E-FCF06C0A72BD}" srcOrd="0" destOrd="0" presId="urn:microsoft.com/office/officeart/2005/8/layout/process1"/>
    <dgm:cxn modelId="{52132C98-49BE-4549-BF25-10EDFC99676C}" type="presOf" srcId="{B48AC2AA-281E-4036-82EA-129F4803FB17}" destId="{606B6FF3-9E8A-41CA-A6ED-CE3A656552A8}" srcOrd="0" destOrd="0" presId="urn:microsoft.com/office/officeart/2005/8/layout/process1"/>
    <dgm:cxn modelId="{FD8ACA72-D6D4-477C-AB2D-0F6CB0497775}"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BE587B8A-A5D9-4633-883C-118AADAE5065}" type="presOf" srcId="{776D7142-5F39-4D45-AFE8-27D3AFC8E949}" destId="{A79C3D93-9A38-4F22-8EF4-E8F6FE7F6A6C}" srcOrd="0" destOrd="0" presId="urn:microsoft.com/office/officeart/2005/8/layout/process1"/>
    <dgm:cxn modelId="{CE13852F-8F76-493E-906C-0850CEC47B64}" type="presOf" srcId="{CF8E332C-A3FD-48AF-A54A-A7FB619C849C}" destId="{B32A6A4F-9A29-4E5D-95F5-C6955DB58C1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8AF600E0-3201-48BB-868F-A85AC1C4C220}" type="presOf" srcId="{DA14EC22-98E9-4D82-B3FE-37DAA39522A9}" destId="{0F2C368C-79F4-4FD6-9833-9F45ECA4B1FB}" srcOrd="1" destOrd="0" presId="urn:microsoft.com/office/officeart/2005/8/layout/process1"/>
    <dgm:cxn modelId="{562AB34F-09E8-42D1-B567-75B605AB041E}" type="presOf" srcId="{DA14EC22-98E9-4D82-B3FE-37DAA39522A9}" destId="{C717BB88-8349-4F44-8CE4-34A3C16C24F3}" srcOrd="0" destOrd="0" presId="urn:microsoft.com/office/officeart/2005/8/layout/process1"/>
    <dgm:cxn modelId="{D4F3AF3E-CD2E-4A2B-9898-7A20D29901C6}" type="presOf" srcId="{B4595F5E-6DC1-4311-A32A-082FD51880D4}" destId="{8959D011-8450-4460-A91B-8A1AA1978569}" srcOrd="1" destOrd="0" presId="urn:microsoft.com/office/officeart/2005/8/layout/process1"/>
    <dgm:cxn modelId="{135C5D22-3493-4D91-B6A6-8E192B8FC0A9}" type="presOf" srcId="{B4595F5E-6DC1-4311-A32A-082FD51880D4}" destId="{3DEE5010-9707-4B69-A04B-BFDA88BBFD02}" srcOrd="0" destOrd="0" presId="urn:microsoft.com/office/officeart/2005/8/layout/process1"/>
    <dgm:cxn modelId="{BE783635-0274-4DD8-9D9D-864889C19FF5}" type="presOf" srcId="{5A3A89CB-3CF0-48CC-BE42-9A85B63328CF}" destId="{4FF0D549-ADEB-42EE-9DB8-D9F6F4071028}" srcOrd="1" destOrd="0" presId="urn:microsoft.com/office/officeart/2005/8/layout/process1"/>
    <dgm:cxn modelId="{42A816BD-B76B-40F0-9FC3-C1D9ACEF8723}" type="presOf" srcId="{E7B4BC75-67F7-4268-8107-4AA4AF5068BF}" destId="{F11F6C44-A0A4-4895-8F97-DD6EE40FB6DB}" srcOrd="0" destOrd="0" presId="urn:microsoft.com/office/officeart/2005/8/layout/process1"/>
    <dgm:cxn modelId="{8DD4912C-819F-4B23-BF3F-CBE79B869914}" type="presOf" srcId="{9C3CFD6A-537E-49FC-8A5B-758C01F0DBA1}" destId="{1EB9533A-A5E6-46D8-ADA2-19A3C6513F77}"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8E5CD7CE-62F6-4051-93BF-D6575520E84B}" type="presOf" srcId="{FF9B47D8-2281-41AA-9165-1D80EEC3DFDE}" destId="{9539B348-54CE-4E05-A716-DB04C6EF8142}" srcOrd="0" destOrd="0" presId="urn:microsoft.com/office/officeart/2005/8/layout/process1"/>
    <dgm:cxn modelId="{65B22653-69C9-4353-84D8-876DFD8EB1B7}" type="presOf" srcId="{5A3A89CB-3CF0-48CC-BE42-9A85B63328CF}" destId="{BAA803D0-AD9F-411D-AAF2-8216AA2770AF}" srcOrd="0" destOrd="0" presId="urn:microsoft.com/office/officeart/2005/8/layout/process1"/>
    <dgm:cxn modelId="{F1B1B0FB-ECA5-4599-89DD-D07003674D31}" type="presParOf" srcId="{A79C3D93-9A38-4F22-8EF4-E8F6FE7F6A6C}" destId="{606B6FF3-9E8A-41CA-A6ED-CE3A656552A8}" srcOrd="0" destOrd="0" presId="urn:microsoft.com/office/officeart/2005/8/layout/process1"/>
    <dgm:cxn modelId="{A5BA68B8-CCE2-4D40-A459-4342D6EAE4F2}" type="presParOf" srcId="{A79C3D93-9A38-4F22-8EF4-E8F6FE7F6A6C}" destId="{3DEE5010-9707-4B69-A04B-BFDA88BBFD02}" srcOrd="1" destOrd="0" presId="urn:microsoft.com/office/officeart/2005/8/layout/process1"/>
    <dgm:cxn modelId="{85270378-6598-4C1B-A29A-690F38FFB43E}" type="presParOf" srcId="{3DEE5010-9707-4B69-A04B-BFDA88BBFD02}" destId="{8959D011-8450-4460-A91B-8A1AA1978569}" srcOrd="0" destOrd="0" presId="urn:microsoft.com/office/officeart/2005/8/layout/process1"/>
    <dgm:cxn modelId="{CDBCBD74-A358-4233-BADA-8192FA30D358}" type="presParOf" srcId="{A79C3D93-9A38-4F22-8EF4-E8F6FE7F6A6C}" destId="{B32A6A4F-9A29-4E5D-95F5-C6955DB58C1B}" srcOrd="2" destOrd="0" presId="urn:microsoft.com/office/officeart/2005/8/layout/process1"/>
    <dgm:cxn modelId="{D2A3803E-D640-4F07-9B27-B30BF99FB841}" type="presParOf" srcId="{A79C3D93-9A38-4F22-8EF4-E8F6FE7F6A6C}" destId="{319199EF-994A-41A6-B43E-FCF06C0A72BD}" srcOrd="3" destOrd="0" presId="urn:microsoft.com/office/officeart/2005/8/layout/process1"/>
    <dgm:cxn modelId="{83142568-29ED-4F55-9EE1-169837E251E9}" type="presParOf" srcId="{319199EF-994A-41A6-B43E-FCF06C0A72BD}" destId="{25F9093D-D80A-4C2E-9C76-CA98E6D80352}" srcOrd="0" destOrd="0" presId="urn:microsoft.com/office/officeart/2005/8/layout/process1"/>
    <dgm:cxn modelId="{866F4D85-2478-44F1-B302-7390CC436050}" type="presParOf" srcId="{A79C3D93-9A38-4F22-8EF4-E8F6FE7F6A6C}" destId="{F11F6C44-A0A4-4895-8F97-DD6EE40FB6DB}" srcOrd="4" destOrd="0" presId="urn:microsoft.com/office/officeart/2005/8/layout/process1"/>
    <dgm:cxn modelId="{19FB0484-4D0C-4EF0-BC00-AD574137272A}" type="presParOf" srcId="{A79C3D93-9A38-4F22-8EF4-E8F6FE7F6A6C}" destId="{C717BB88-8349-4F44-8CE4-34A3C16C24F3}" srcOrd="5" destOrd="0" presId="urn:microsoft.com/office/officeart/2005/8/layout/process1"/>
    <dgm:cxn modelId="{1BDC8D84-5AA5-45EF-8CB5-FE038BA1E4B3}" type="presParOf" srcId="{C717BB88-8349-4F44-8CE4-34A3C16C24F3}" destId="{0F2C368C-79F4-4FD6-9833-9F45ECA4B1FB}" srcOrd="0" destOrd="0" presId="urn:microsoft.com/office/officeart/2005/8/layout/process1"/>
    <dgm:cxn modelId="{71A6CEEE-0D59-4EF8-948E-C3B907A855F9}" type="presParOf" srcId="{A79C3D93-9A38-4F22-8EF4-E8F6FE7F6A6C}" destId="{9539B348-54CE-4E05-A716-DB04C6EF8142}" srcOrd="6" destOrd="0" presId="urn:microsoft.com/office/officeart/2005/8/layout/process1"/>
    <dgm:cxn modelId="{5E674C20-1170-43AD-87FB-1E30372A9635}" type="presParOf" srcId="{A79C3D93-9A38-4F22-8EF4-E8F6FE7F6A6C}" destId="{BAA803D0-AD9F-411D-AAF2-8216AA2770AF}" srcOrd="7" destOrd="0" presId="urn:microsoft.com/office/officeart/2005/8/layout/process1"/>
    <dgm:cxn modelId="{4EEBD6E6-B861-4C45-BB50-65D7E32B81E3}" type="presParOf" srcId="{BAA803D0-AD9F-411D-AAF2-8216AA2770AF}" destId="{4FF0D549-ADEB-42EE-9DB8-D9F6F4071028}" srcOrd="0" destOrd="0" presId="urn:microsoft.com/office/officeart/2005/8/layout/process1"/>
    <dgm:cxn modelId="{8AB03A6A-F315-4FDD-A439-92332E94128B}"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1BE7CA8D-1876-4DEC-8A0C-6233D928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9039</TotalTime>
  <Pages>1</Pages>
  <Words>7939</Words>
  <Characters>43670</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Dielingen</dc:creator>
  <cp:keywords/>
  <dc:description/>
  <cp:lastModifiedBy>Wolfgang Dielingen</cp:lastModifiedBy>
  <cp:revision>998</cp:revision>
  <cp:lastPrinted>2016-07-10T17:19:00Z</cp:lastPrinted>
  <dcterms:created xsi:type="dcterms:W3CDTF">2016-04-24T00:07:00Z</dcterms:created>
  <dcterms:modified xsi:type="dcterms:W3CDTF">2016-07-10T17:20:00Z</dcterms:modified>
</cp:coreProperties>
</file>