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C2F48" w14:textId="77777777" w:rsidR="00F758C6" w:rsidRDefault="00F758C6" w:rsidP="5C3EE18C">
      <w:pPr>
        <w:spacing w:after="0" w:line="480" w:lineRule="auto"/>
        <w:jc w:val="both"/>
        <w:rPr>
          <w:rStyle w:val="normaltextrun"/>
          <w:rFonts w:ascii="Times New Roman" w:eastAsia="Times New Roman" w:hAnsi="Times New Roman" w:cs="Times New Roman"/>
          <w:b/>
          <w:bCs/>
          <w:color w:val="000000" w:themeColor="text1"/>
          <w:sz w:val="24"/>
          <w:szCs w:val="24"/>
        </w:rPr>
      </w:pPr>
      <w:r w:rsidRPr="5C3EE18C">
        <w:rPr>
          <w:rStyle w:val="normaltextrun"/>
          <w:rFonts w:ascii="Times New Roman" w:eastAsia="Times New Roman" w:hAnsi="Times New Roman" w:cs="Times New Roman"/>
          <w:b/>
          <w:bCs/>
          <w:color w:val="000000" w:themeColor="text1"/>
          <w:sz w:val="24"/>
          <w:szCs w:val="24"/>
        </w:rPr>
        <w:t>Supplementary data:</w:t>
      </w:r>
    </w:p>
    <w:p w14:paraId="7D331D56" w14:textId="77777777" w:rsidR="00211B70" w:rsidRPr="00211B70" w:rsidRDefault="00F758C6" w:rsidP="5C3EE18C">
      <w:pPr>
        <w:spacing w:after="0" w:line="480" w:lineRule="auto"/>
        <w:jc w:val="both"/>
        <w:rPr>
          <w:rStyle w:val="normaltextrun"/>
          <w:rFonts w:ascii="Times New Roman" w:eastAsia="Times New Roman" w:hAnsi="Times New Roman" w:cs="Times New Roman"/>
          <w:b/>
          <w:bCs/>
          <w:color w:val="000000" w:themeColor="text1"/>
          <w:sz w:val="24"/>
          <w:szCs w:val="24"/>
        </w:rPr>
      </w:pPr>
      <w:r w:rsidRPr="5C3EE18C">
        <w:rPr>
          <w:rStyle w:val="normaltextrun"/>
          <w:rFonts w:ascii="Times New Roman" w:eastAsia="Times New Roman" w:hAnsi="Times New Roman" w:cs="Times New Roman"/>
          <w:b/>
          <w:bCs/>
          <w:color w:val="000000" w:themeColor="text1"/>
          <w:sz w:val="24"/>
          <w:szCs w:val="24"/>
        </w:rPr>
        <w:t xml:space="preserve">Materials </w:t>
      </w:r>
      <w:r w:rsidR="007E2CF7" w:rsidRPr="5C3EE18C">
        <w:rPr>
          <w:rStyle w:val="normaltextrun"/>
          <w:rFonts w:ascii="Times New Roman" w:eastAsia="Times New Roman" w:hAnsi="Times New Roman" w:cs="Times New Roman"/>
          <w:b/>
          <w:bCs/>
          <w:color w:val="000000" w:themeColor="text1"/>
          <w:sz w:val="24"/>
          <w:szCs w:val="24"/>
        </w:rPr>
        <w:t>and Methods:</w:t>
      </w:r>
    </w:p>
    <w:p w14:paraId="164125C4" w14:textId="77FFDD8A" w:rsidR="00211B70" w:rsidRPr="00211B70" w:rsidRDefault="00211B70" w:rsidP="00376697">
      <w:pPr>
        <w:spacing w:after="0" w:line="360" w:lineRule="auto"/>
        <w:jc w:val="both"/>
        <w:rPr>
          <w:rFonts w:ascii="Times New Roman" w:eastAsia="Times New Roman" w:hAnsi="Times New Roman" w:cs="Times New Roman"/>
          <w:b/>
          <w:bCs/>
          <w:color w:val="000000" w:themeColor="text1"/>
          <w:sz w:val="24"/>
          <w:szCs w:val="24"/>
        </w:rPr>
      </w:pPr>
      <w:r w:rsidRPr="5C3EE18C">
        <w:rPr>
          <w:rFonts w:ascii="Times New Roman" w:hAnsi="Times New Roman" w:cs="Times New Roman"/>
          <w:b/>
          <w:bCs/>
          <w:sz w:val="24"/>
          <w:szCs w:val="24"/>
        </w:rPr>
        <w:t>Intracellular Cytokine Staining:</w:t>
      </w:r>
    </w:p>
    <w:p w14:paraId="484993E7" w14:textId="061CB5CC" w:rsidR="00211B70" w:rsidRPr="0020352E" w:rsidRDefault="00211B70" w:rsidP="00376697">
      <w:pPr>
        <w:spacing w:after="0" w:line="360" w:lineRule="auto"/>
        <w:jc w:val="both"/>
        <w:rPr>
          <w:rFonts w:ascii="Times New Roman" w:hAnsi="Times New Roman" w:cs="Times New Roman"/>
          <w:color w:val="000000"/>
          <w:sz w:val="24"/>
          <w:szCs w:val="24"/>
        </w:rPr>
      </w:pPr>
      <w:r w:rsidRPr="5C3EE18C">
        <w:rPr>
          <w:rFonts w:ascii="Times New Roman" w:hAnsi="Times New Roman" w:cs="Times New Roman"/>
          <w:color w:val="000000" w:themeColor="text1"/>
          <w:sz w:val="24"/>
          <w:szCs w:val="24"/>
        </w:rPr>
        <w:t xml:space="preserve">Patient PBMCs from different time-points were thawed, counted, stained with proliferation dye (1 </w:t>
      </w:r>
      <w:proofErr w:type="spellStart"/>
      <w:r w:rsidRPr="5C3EE18C">
        <w:rPr>
          <w:rFonts w:ascii="Times New Roman" w:hAnsi="Times New Roman" w:cs="Times New Roman"/>
          <w:color w:val="000000" w:themeColor="text1"/>
          <w:sz w:val="24"/>
          <w:szCs w:val="24"/>
        </w:rPr>
        <w:t>μl</w:t>
      </w:r>
      <w:proofErr w:type="spellEnd"/>
      <w:r w:rsidRPr="5C3EE18C">
        <w:rPr>
          <w:rFonts w:ascii="Times New Roman" w:hAnsi="Times New Roman" w:cs="Times New Roman"/>
          <w:color w:val="000000" w:themeColor="text1"/>
          <w:sz w:val="24"/>
          <w:szCs w:val="24"/>
        </w:rPr>
        <w:t xml:space="preserve"> of APC proliferation dye in 1 ml of PBS per 10M) and resuspended at desired concentration. Stimulator cells (either donor or third party splenocytes) were thawed and irradiated at 40 </w:t>
      </w:r>
      <w:proofErr w:type="spellStart"/>
      <w:r w:rsidRPr="5C3EE18C">
        <w:rPr>
          <w:rFonts w:ascii="Times New Roman" w:hAnsi="Times New Roman" w:cs="Times New Roman"/>
          <w:color w:val="000000" w:themeColor="text1"/>
          <w:sz w:val="24"/>
          <w:szCs w:val="24"/>
        </w:rPr>
        <w:t>Gy</w:t>
      </w:r>
      <w:proofErr w:type="spellEnd"/>
      <w:r w:rsidRPr="5C3EE18C">
        <w:rPr>
          <w:rFonts w:ascii="Times New Roman" w:hAnsi="Times New Roman" w:cs="Times New Roman"/>
          <w:color w:val="000000" w:themeColor="text1"/>
          <w:sz w:val="24"/>
          <w:szCs w:val="24"/>
        </w:rPr>
        <w:t xml:space="preserve"> in a facility and stained with proliferation dye (1 </w:t>
      </w:r>
      <w:proofErr w:type="spellStart"/>
      <w:r w:rsidRPr="5C3EE18C">
        <w:rPr>
          <w:rFonts w:ascii="Times New Roman" w:hAnsi="Times New Roman" w:cs="Times New Roman"/>
          <w:color w:val="000000" w:themeColor="text1"/>
          <w:sz w:val="24"/>
          <w:szCs w:val="24"/>
        </w:rPr>
        <w:t>μl</w:t>
      </w:r>
      <w:proofErr w:type="spellEnd"/>
      <w:r w:rsidRPr="5C3EE18C">
        <w:rPr>
          <w:rFonts w:ascii="Times New Roman" w:hAnsi="Times New Roman" w:cs="Times New Roman"/>
          <w:color w:val="000000" w:themeColor="text1"/>
          <w:sz w:val="24"/>
          <w:szCs w:val="24"/>
        </w:rPr>
        <w:t xml:space="preserve"> of V450 in 1 ml of PBS per 10M). 100,000 responder cells were added to a 96 U bottom-well plate and media, together with 100,000 stimulating cells, media, or CD3/CD28 T cell activator beads (1:1). Plates were incubated at 37oC for 5 days. Following 5 days, cells were harvested into FACS tubes and centrifuged at 400xg for 5 minutes. Cells were then resuspended with 1xBefeldin A in 1 ml of Complete Media (1:1000 dilution) and incubated at 37°C for 4h. After 4 hours, cells were centrifuged, viability dye was added (1:1000 dilution) and surface antibody staining was carried out (Table S1). After surface antibody staining and washing, cell pellets were resuspended in 150 µl Cyto-Fast fixation/permeabilization working solution, prepared by adding fix/perm concentrate to fix/perm diluent according to manufacturer’s instructions (</w:t>
      </w:r>
      <w:proofErr w:type="spellStart"/>
      <w:r w:rsidRPr="5C3EE18C">
        <w:rPr>
          <w:rFonts w:ascii="Times New Roman" w:hAnsi="Times New Roman" w:cs="Times New Roman"/>
          <w:color w:val="000000" w:themeColor="text1"/>
          <w:sz w:val="24"/>
          <w:szCs w:val="24"/>
        </w:rPr>
        <w:t>Biolegend</w:t>
      </w:r>
      <w:proofErr w:type="spellEnd"/>
      <w:r w:rsidRPr="5C3EE18C">
        <w:rPr>
          <w:rFonts w:ascii="Times New Roman" w:hAnsi="Times New Roman" w:cs="Times New Roman"/>
          <w:color w:val="000000" w:themeColor="text1"/>
          <w:sz w:val="24"/>
          <w:szCs w:val="24"/>
        </w:rPr>
        <w:t xml:space="preserve">). Tubes were incubated for 30 minutes at 4°C in the dark. Without washing, 2ml of Cyto-fast Perm Wash solution (diluted to 1x with ddH20 from 10x) was added to the tubes and cells were centrifuged at 400g for 5 minutes. Following washing, the cells were resuspended in 100 µl intracellular staining </w:t>
      </w:r>
      <w:proofErr w:type="spellStart"/>
      <w:r w:rsidRPr="5C3EE18C">
        <w:rPr>
          <w:rFonts w:ascii="Times New Roman" w:hAnsi="Times New Roman" w:cs="Times New Roman"/>
          <w:color w:val="000000" w:themeColor="text1"/>
          <w:sz w:val="24"/>
          <w:szCs w:val="24"/>
        </w:rPr>
        <w:t>mastermix</w:t>
      </w:r>
      <w:proofErr w:type="spellEnd"/>
      <w:r w:rsidRPr="5C3EE18C">
        <w:rPr>
          <w:rFonts w:ascii="Times New Roman" w:hAnsi="Times New Roman" w:cs="Times New Roman"/>
          <w:color w:val="000000" w:themeColor="text1"/>
          <w:sz w:val="24"/>
          <w:szCs w:val="24"/>
        </w:rPr>
        <w:t xml:space="preserve"> with antibodies or isotype controls (Table S2) and incubated for 30 minutes at 4°C in the dark. The stained samples were then washed, fixed, and acquired. We calculated the alloreactive precursor frequency by adjusting the proliferation model in </w:t>
      </w:r>
      <w:proofErr w:type="spellStart"/>
      <w:r w:rsidRPr="5C3EE18C">
        <w:rPr>
          <w:rFonts w:ascii="Times New Roman" w:hAnsi="Times New Roman" w:cs="Times New Roman"/>
          <w:color w:val="000000" w:themeColor="text1"/>
          <w:sz w:val="24"/>
          <w:szCs w:val="24"/>
        </w:rPr>
        <w:t>FlowJO</w:t>
      </w:r>
      <w:proofErr w:type="spellEnd"/>
      <w:r w:rsidRPr="5C3EE18C">
        <w:rPr>
          <w:rFonts w:ascii="Times New Roman" w:hAnsi="Times New Roman" w:cs="Times New Roman"/>
          <w:color w:val="000000" w:themeColor="text1"/>
          <w:sz w:val="24"/>
          <w:szCs w:val="24"/>
        </w:rPr>
        <w:t>. We calculated the precursor frequency by dividing the total number of divided alloreactive precursor T cells by the total number of all T cells (including alloreactive precursor T cells and non-dividing population, as previously described (</w:t>
      </w:r>
      <w:proofErr w:type="spellStart"/>
      <w:r w:rsidRPr="5C3EE18C">
        <w:rPr>
          <w:rFonts w:ascii="Times New Roman" w:hAnsi="Times New Roman" w:cs="Times New Roman"/>
          <w:color w:val="000000" w:themeColor="text1"/>
          <w:sz w:val="24"/>
          <w:szCs w:val="24"/>
        </w:rPr>
        <w:t>Noorchashm</w:t>
      </w:r>
      <w:proofErr w:type="spellEnd"/>
      <w:r w:rsidRPr="5C3EE18C">
        <w:rPr>
          <w:rFonts w:ascii="Times New Roman" w:hAnsi="Times New Roman" w:cs="Times New Roman"/>
          <w:color w:val="000000" w:themeColor="text1"/>
          <w:sz w:val="24"/>
          <w:szCs w:val="24"/>
        </w:rPr>
        <w:t xml:space="preserve"> et al. 1999). </w:t>
      </w:r>
    </w:p>
    <w:p w14:paraId="7E3E814C" w14:textId="77777777" w:rsidR="00376697" w:rsidRDefault="00211B70" w:rsidP="00376697">
      <w:pPr>
        <w:spacing w:line="360" w:lineRule="auto"/>
        <w:rPr>
          <w:rFonts w:ascii="Times New Roman" w:hAnsi="Times New Roman" w:cs="Times New Roman"/>
          <w:b/>
          <w:bCs/>
          <w:i/>
          <w:iCs/>
          <w:sz w:val="24"/>
          <w:szCs w:val="24"/>
        </w:rPr>
      </w:pPr>
      <w:r w:rsidRPr="5C3EE18C">
        <w:rPr>
          <w:rFonts w:ascii="Times New Roman" w:hAnsi="Times New Roman" w:cs="Times New Roman"/>
          <w:b/>
          <w:bCs/>
          <w:sz w:val="24"/>
          <w:szCs w:val="24"/>
        </w:rPr>
        <w:t>Activation induced marker assay:</w:t>
      </w:r>
    </w:p>
    <w:p w14:paraId="13A2A276" w14:textId="0CB45C1D" w:rsidR="00211B70" w:rsidRPr="00376697" w:rsidRDefault="00211B70" w:rsidP="00376697">
      <w:pPr>
        <w:spacing w:line="360" w:lineRule="auto"/>
        <w:rPr>
          <w:rFonts w:ascii="Times New Roman" w:hAnsi="Times New Roman" w:cs="Times New Roman"/>
          <w:b/>
          <w:bCs/>
          <w:i/>
          <w:iCs/>
          <w:sz w:val="24"/>
          <w:szCs w:val="24"/>
        </w:rPr>
      </w:pPr>
      <w:r w:rsidRPr="5C3EE18C">
        <w:rPr>
          <w:rFonts w:ascii="Times New Roman" w:hAnsi="Times New Roman" w:cs="Times New Roman"/>
          <w:color w:val="000000" w:themeColor="text1"/>
          <w:sz w:val="24"/>
          <w:szCs w:val="24"/>
        </w:rPr>
        <w:t>Cryopreserved patient PBMCs obtained before were resuspended in culture media (X-VIVO plus 10% AB Serum) at 2 x 10</w:t>
      </w:r>
      <w:r w:rsidRPr="5C3EE18C">
        <w:rPr>
          <w:rFonts w:ascii="Times New Roman" w:hAnsi="Times New Roman" w:cs="Times New Roman"/>
          <w:color w:val="000000" w:themeColor="text1"/>
          <w:sz w:val="24"/>
          <w:szCs w:val="24"/>
          <w:vertAlign w:val="superscript"/>
        </w:rPr>
        <w:t>6</w:t>
      </w:r>
      <w:r w:rsidRPr="5C3EE18C">
        <w:rPr>
          <w:rFonts w:ascii="Times New Roman" w:hAnsi="Times New Roman" w:cs="Times New Roman"/>
          <w:color w:val="000000" w:themeColor="text1"/>
          <w:sz w:val="24"/>
          <w:szCs w:val="24"/>
        </w:rPr>
        <w:t xml:space="preserve"> – 0.5 x 10</w:t>
      </w:r>
      <w:r w:rsidRPr="5C3EE18C">
        <w:rPr>
          <w:rFonts w:ascii="Times New Roman" w:hAnsi="Times New Roman" w:cs="Times New Roman"/>
          <w:color w:val="000000" w:themeColor="text1"/>
          <w:sz w:val="24"/>
          <w:szCs w:val="24"/>
          <w:vertAlign w:val="superscript"/>
        </w:rPr>
        <w:t xml:space="preserve">6 </w:t>
      </w:r>
      <w:r w:rsidRPr="5C3EE18C">
        <w:rPr>
          <w:rFonts w:ascii="Times New Roman" w:hAnsi="Times New Roman" w:cs="Times New Roman"/>
          <w:color w:val="000000" w:themeColor="text1"/>
          <w:sz w:val="24"/>
          <w:szCs w:val="24"/>
        </w:rPr>
        <w:t>cells/</w:t>
      </w:r>
      <w:proofErr w:type="spellStart"/>
      <w:r w:rsidRPr="5C3EE18C">
        <w:rPr>
          <w:rFonts w:ascii="Times New Roman" w:hAnsi="Times New Roman" w:cs="Times New Roman"/>
          <w:color w:val="000000" w:themeColor="text1"/>
          <w:sz w:val="24"/>
          <w:szCs w:val="24"/>
        </w:rPr>
        <w:t>Ml</w:t>
      </w:r>
      <w:proofErr w:type="spellEnd"/>
      <w:r w:rsidRPr="5C3EE18C">
        <w:rPr>
          <w:rFonts w:ascii="Times New Roman" w:hAnsi="Times New Roman" w:cs="Times New Roman"/>
          <w:color w:val="000000" w:themeColor="text1"/>
          <w:sz w:val="24"/>
          <w:szCs w:val="24"/>
        </w:rPr>
        <w:t xml:space="preserve"> and were co-cultured with a similar number of CFSE stained donor or third party splenocytes in the presence of</w:t>
      </w:r>
      <w:r>
        <w:t xml:space="preserve"> </w:t>
      </w:r>
      <w:r w:rsidRPr="5C3EE18C">
        <w:rPr>
          <w:rFonts w:ascii="Times New Roman" w:hAnsi="Times New Roman" w:cs="Times New Roman"/>
          <w:color w:val="000000" w:themeColor="text1"/>
          <w:sz w:val="24"/>
          <w:szCs w:val="24"/>
        </w:rPr>
        <w:t>2μg/mL anti-CD40 blocking antibody (</w:t>
      </w:r>
      <w:proofErr w:type="spellStart"/>
      <w:r w:rsidRPr="5C3EE18C">
        <w:rPr>
          <w:rFonts w:ascii="Times New Roman" w:hAnsi="Times New Roman" w:cs="Times New Roman"/>
          <w:color w:val="000000" w:themeColor="text1"/>
          <w:sz w:val="24"/>
          <w:szCs w:val="24"/>
        </w:rPr>
        <w:t>BioXcell</w:t>
      </w:r>
      <w:proofErr w:type="spellEnd"/>
      <w:r w:rsidRPr="5C3EE18C">
        <w:rPr>
          <w:rFonts w:ascii="Times New Roman" w:hAnsi="Times New Roman" w:cs="Times New Roman"/>
          <w:color w:val="000000" w:themeColor="text1"/>
          <w:sz w:val="24"/>
          <w:szCs w:val="24"/>
        </w:rPr>
        <w:t xml:space="preserve">). As donor stimulation, donor PBMCs isolated from deceased donor spleens were used and as third-party stimulation, PBMCs isolated from 3 </w:t>
      </w:r>
      <w:r w:rsidRPr="5C3EE18C">
        <w:rPr>
          <w:rFonts w:ascii="Times New Roman" w:hAnsi="Times New Roman" w:cs="Times New Roman"/>
          <w:color w:val="000000" w:themeColor="text1"/>
          <w:sz w:val="24"/>
          <w:szCs w:val="24"/>
        </w:rPr>
        <w:lastRenderedPageBreak/>
        <w:t>different deceased 3</w:t>
      </w:r>
      <w:r w:rsidRPr="5C3EE18C">
        <w:rPr>
          <w:rFonts w:ascii="Times New Roman" w:hAnsi="Times New Roman" w:cs="Times New Roman"/>
          <w:color w:val="000000" w:themeColor="text1"/>
          <w:sz w:val="24"/>
          <w:szCs w:val="24"/>
          <w:vertAlign w:val="superscript"/>
        </w:rPr>
        <w:t>rd</w:t>
      </w:r>
      <w:r w:rsidRPr="5C3EE18C">
        <w:rPr>
          <w:rFonts w:ascii="Times New Roman" w:hAnsi="Times New Roman" w:cs="Times New Roman"/>
          <w:color w:val="000000" w:themeColor="text1"/>
          <w:sz w:val="24"/>
          <w:szCs w:val="24"/>
        </w:rPr>
        <w:t xml:space="preserve"> Party donors were used. After 18 hours, cells were harvested, washed and cell surface staining was performed using fluorescent monoclonal antibodies directed against CD3, CD4, CD8, CD26, CD127, CD69, CD137, CD154, CD56, and GARP. Cells were then fixed and permeabilized using FOXP3/TF staining buffer kit (</w:t>
      </w:r>
      <w:proofErr w:type="spellStart"/>
      <w:r w:rsidRPr="5C3EE18C">
        <w:rPr>
          <w:rFonts w:ascii="Times New Roman" w:hAnsi="Times New Roman" w:cs="Times New Roman"/>
          <w:color w:val="000000" w:themeColor="text1"/>
          <w:sz w:val="24"/>
          <w:szCs w:val="24"/>
        </w:rPr>
        <w:t>eBioscience</w:t>
      </w:r>
      <w:proofErr w:type="spellEnd"/>
      <w:r w:rsidRPr="5C3EE18C">
        <w:rPr>
          <w:rFonts w:ascii="Times New Roman" w:hAnsi="Times New Roman" w:cs="Times New Roman"/>
          <w:color w:val="000000" w:themeColor="text1"/>
          <w:sz w:val="24"/>
          <w:szCs w:val="24"/>
        </w:rPr>
        <w:t xml:space="preserve">) and stained using anti-FOXP3 and anti-Helios antibodies. Samples were immediately acquired on a BD </w:t>
      </w:r>
      <w:proofErr w:type="spellStart"/>
      <w:r w:rsidRPr="5C3EE18C">
        <w:rPr>
          <w:rFonts w:ascii="Times New Roman" w:hAnsi="Times New Roman" w:cs="Times New Roman"/>
          <w:color w:val="000000" w:themeColor="text1"/>
          <w:sz w:val="24"/>
          <w:szCs w:val="24"/>
        </w:rPr>
        <w:t>LSRFortessa</w:t>
      </w:r>
      <w:proofErr w:type="spellEnd"/>
      <w:r w:rsidRPr="5C3EE18C">
        <w:rPr>
          <w:rFonts w:ascii="Times New Roman" w:hAnsi="Times New Roman" w:cs="Times New Roman"/>
          <w:color w:val="000000" w:themeColor="text1"/>
          <w:sz w:val="24"/>
          <w:szCs w:val="24"/>
        </w:rPr>
        <w:t xml:space="preserve"> and data analyzed using </w:t>
      </w:r>
      <w:proofErr w:type="spellStart"/>
      <w:r w:rsidRPr="5C3EE18C">
        <w:rPr>
          <w:rFonts w:ascii="Times New Roman" w:hAnsi="Times New Roman" w:cs="Times New Roman"/>
          <w:color w:val="000000" w:themeColor="text1"/>
          <w:sz w:val="24"/>
          <w:szCs w:val="24"/>
        </w:rPr>
        <w:t>FlowJo</w:t>
      </w:r>
      <w:proofErr w:type="spellEnd"/>
      <w:r w:rsidRPr="5C3EE18C">
        <w:rPr>
          <w:rFonts w:ascii="Times New Roman" w:hAnsi="Times New Roman" w:cs="Times New Roman"/>
          <w:color w:val="000000" w:themeColor="text1"/>
          <w:sz w:val="24"/>
          <w:szCs w:val="24"/>
        </w:rPr>
        <w:t xml:space="preserve"> software. As a positive control for this assay, we stimulated recipient cells with 0.1 </w:t>
      </w:r>
      <w:proofErr w:type="spellStart"/>
      <w:r w:rsidRPr="5C3EE18C">
        <w:rPr>
          <w:rFonts w:ascii="Times New Roman" w:hAnsi="Times New Roman" w:cs="Times New Roman"/>
          <w:color w:val="000000" w:themeColor="text1"/>
          <w:sz w:val="24"/>
          <w:szCs w:val="24"/>
        </w:rPr>
        <w:t>μg</w:t>
      </w:r>
      <w:proofErr w:type="spellEnd"/>
      <w:r w:rsidRPr="5C3EE18C">
        <w:rPr>
          <w:rFonts w:ascii="Times New Roman" w:hAnsi="Times New Roman" w:cs="Times New Roman"/>
          <w:color w:val="000000" w:themeColor="text1"/>
          <w:sz w:val="24"/>
          <w:szCs w:val="24"/>
        </w:rPr>
        <w:t xml:space="preserve">/mL Staphylococcus aureus enterotoxin B (SEB, Sigma-Aldrich). We excluded CFSE stained donor/third-party cells and alloantigen specific cells were defined as CD4+ T cells, CD8+ T cells and Helios+ Foxp3+ Tregs co-expressing CD154/CD69, CD137/CD69 and CD137/GARP, respectively. Experiments were conducted with one patient per run with all the time-points and with quality control ensured by including PBMCs from the same healthy volunteer in each run. </w:t>
      </w:r>
    </w:p>
    <w:p w14:paraId="4ADD57E7" w14:textId="77777777" w:rsidR="00155588" w:rsidRPr="007D18E4" w:rsidRDefault="00155588" w:rsidP="00376697">
      <w:pPr>
        <w:pStyle w:val="NormalWeb"/>
        <w:spacing w:before="0" w:beforeAutospacing="0" w:after="0" w:afterAutospacing="0" w:line="360" w:lineRule="auto"/>
        <w:jc w:val="both"/>
        <w:rPr>
          <w:rFonts w:eastAsia="+mn-ea"/>
          <w:b/>
          <w:bCs/>
          <w:kern w:val="24"/>
        </w:rPr>
      </w:pPr>
    </w:p>
    <w:p w14:paraId="288205DF" w14:textId="77777777" w:rsidR="00155588" w:rsidRDefault="00155588" w:rsidP="00546FDB">
      <w:pPr>
        <w:pStyle w:val="NormalWeb"/>
        <w:spacing w:before="0" w:beforeAutospacing="0" w:after="0" w:afterAutospacing="0" w:line="480" w:lineRule="auto"/>
        <w:jc w:val="both"/>
        <w:rPr>
          <w:rFonts w:eastAsia="+mn-ea"/>
          <w:b/>
          <w:bCs/>
          <w:kern w:val="24"/>
        </w:rPr>
      </w:pPr>
    </w:p>
    <w:p w14:paraId="223BA932" w14:textId="77777777" w:rsidR="00211B70" w:rsidRDefault="00211B70" w:rsidP="00211B70">
      <w:pPr>
        <w:spacing w:line="600" w:lineRule="auto"/>
      </w:pPr>
    </w:p>
    <w:p w14:paraId="7A227148" w14:textId="77777777" w:rsidR="00E02949" w:rsidRDefault="00E02949" w:rsidP="00211B70">
      <w:pPr>
        <w:spacing w:line="600" w:lineRule="auto"/>
      </w:pPr>
    </w:p>
    <w:p w14:paraId="16D348D3" w14:textId="77777777" w:rsidR="00376697" w:rsidRDefault="00376697" w:rsidP="00211B70">
      <w:pPr>
        <w:spacing w:line="600" w:lineRule="auto"/>
      </w:pPr>
    </w:p>
    <w:p w14:paraId="2FF2A3AF" w14:textId="77777777" w:rsidR="00376697" w:rsidRDefault="00376697" w:rsidP="00211B70">
      <w:pPr>
        <w:spacing w:line="600" w:lineRule="auto"/>
      </w:pPr>
    </w:p>
    <w:p w14:paraId="2A4CF26E" w14:textId="77777777" w:rsidR="00376697" w:rsidRDefault="00376697" w:rsidP="00211B70">
      <w:pPr>
        <w:spacing w:line="600" w:lineRule="auto"/>
      </w:pPr>
    </w:p>
    <w:p w14:paraId="61CA958D" w14:textId="77777777" w:rsidR="00376697" w:rsidRDefault="00376697" w:rsidP="00211B70">
      <w:pPr>
        <w:spacing w:line="600" w:lineRule="auto"/>
      </w:pPr>
    </w:p>
    <w:p w14:paraId="048E456E" w14:textId="77777777" w:rsidR="00376697" w:rsidRDefault="00376697" w:rsidP="00211B70">
      <w:pPr>
        <w:spacing w:line="600" w:lineRule="auto"/>
      </w:pPr>
    </w:p>
    <w:p w14:paraId="5F0994DF" w14:textId="77777777" w:rsidR="00376697" w:rsidRDefault="00376697" w:rsidP="00211B70">
      <w:pPr>
        <w:spacing w:line="600" w:lineRule="auto"/>
      </w:pPr>
    </w:p>
    <w:p w14:paraId="75EBC438" w14:textId="77777777" w:rsidR="00376697" w:rsidRDefault="00376697" w:rsidP="00211B70">
      <w:pPr>
        <w:spacing w:line="600" w:lineRule="auto"/>
      </w:pPr>
    </w:p>
    <w:p w14:paraId="7D684905" w14:textId="77777777" w:rsidR="00376697" w:rsidRPr="00D015F5" w:rsidRDefault="00376697" w:rsidP="00211B70">
      <w:pPr>
        <w:spacing w:line="600" w:lineRule="auto"/>
      </w:pPr>
    </w:p>
    <w:p w14:paraId="6DCC89FC" w14:textId="7CFDD6AF" w:rsidR="0054738E" w:rsidRDefault="0054738E" w:rsidP="0054738E">
      <w:pPr>
        <w:spacing w:after="0" w:line="360" w:lineRule="auto"/>
        <w:jc w:val="both"/>
        <w:rPr>
          <w:rFonts w:ascii="Calibri" w:eastAsia="Calibri" w:hAnsi="Calibri" w:cs="Calibri"/>
        </w:rPr>
      </w:pPr>
      <w:r w:rsidRPr="529B0621">
        <w:rPr>
          <w:rStyle w:val="normaltextrun"/>
          <w:rFonts w:ascii="Times New Roman" w:eastAsia="Times New Roman" w:hAnsi="Times New Roman" w:cs="Times New Roman"/>
          <w:b/>
          <w:bCs/>
          <w:color w:val="000000" w:themeColor="text1"/>
          <w:sz w:val="24"/>
          <w:szCs w:val="24"/>
        </w:rPr>
        <w:lastRenderedPageBreak/>
        <w:t xml:space="preserve">Table S1 – Flow cytometry panel for perfusate T cells subsets </w:t>
      </w:r>
      <w:r w:rsidRPr="529B0621">
        <w:rPr>
          <w:rFonts w:ascii="Calibri" w:eastAsia="Calibri" w:hAnsi="Calibri" w:cs="Calibri"/>
        </w:rPr>
        <w:t xml:space="preserve"> </w:t>
      </w:r>
    </w:p>
    <w:p w14:paraId="5AD686A6" w14:textId="77777777" w:rsidR="0054738E" w:rsidRDefault="0054738E" w:rsidP="0054738E">
      <w:pPr>
        <w:spacing w:after="0" w:line="360" w:lineRule="auto"/>
        <w:jc w:val="both"/>
      </w:pPr>
    </w:p>
    <w:tbl>
      <w:tblPr>
        <w:tblW w:w="0" w:type="auto"/>
        <w:tblLayout w:type="fixed"/>
        <w:tblLook w:val="04A0" w:firstRow="1" w:lastRow="0" w:firstColumn="1" w:lastColumn="0" w:noHBand="0" w:noVBand="1"/>
      </w:tblPr>
      <w:tblGrid>
        <w:gridCol w:w="1380"/>
        <w:gridCol w:w="1665"/>
        <w:gridCol w:w="1170"/>
        <w:gridCol w:w="1485"/>
        <w:gridCol w:w="1485"/>
        <w:gridCol w:w="1485"/>
      </w:tblGrid>
      <w:tr w:rsidR="0054738E" w14:paraId="50E8FDFB" w14:textId="77777777" w:rsidTr="0088603C">
        <w:trPr>
          <w:trHeight w:val="180"/>
        </w:trPr>
        <w:tc>
          <w:tcPr>
            <w:tcW w:w="1380" w:type="dxa"/>
            <w:tcBorders>
              <w:top w:val="single" w:sz="6" w:space="0" w:color="000000" w:themeColor="text1"/>
              <w:left w:val="single" w:sz="6" w:space="0" w:color="000000" w:themeColor="text1"/>
              <w:bottom w:val="single" w:sz="6" w:space="0" w:color="auto"/>
              <w:right w:val="single" w:sz="6" w:space="0" w:color="auto"/>
            </w:tcBorders>
            <w:shd w:val="clear" w:color="auto" w:fill="AEAAAA" w:themeFill="background2" w:themeFillShade="BF"/>
            <w:vAlign w:val="bottom"/>
          </w:tcPr>
          <w:p w14:paraId="72F8831D" w14:textId="77777777" w:rsidR="0054738E" w:rsidRDefault="0054738E" w:rsidP="0088603C">
            <w:pPr>
              <w:spacing w:after="0" w:line="360" w:lineRule="auto"/>
              <w:jc w:val="right"/>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Antibody</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vAlign w:val="bottom"/>
          </w:tcPr>
          <w:p w14:paraId="42CAF68E" w14:textId="77777777" w:rsidR="0054738E" w:rsidRDefault="0054738E" w:rsidP="0088603C">
            <w:pPr>
              <w:spacing w:after="0" w:line="360" w:lineRule="auto"/>
              <w:jc w:val="right"/>
              <w:rPr>
                <w:rFonts w:ascii="Times New Roman" w:eastAsia="Times New Roman" w:hAnsi="Times New Roman" w:cs="Times New Roman"/>
                <w:color w:val="000000" w:themeColor="text1"/>
                <w:sz w:val="24"/>
                <w:szCs w:val="24"/>
                <w:lang w:val="en-GB"/>
              </w:rPr>
            </w:pPr>
            <w:r w:rsidRPr="529B0621">
              <w:rPr>
                <w:rFonts w:ascii="Times New Roman" w:eastAsia="Times New Roman" w:hAnsi="Times New Roman" w:cs="Times New Roman"/>
                <w:color w:val="000000" w:themeColor="text1"/>
                <w:sz w:val="24"/>
                <w:szCs w:val="24"/>
              </w:rPr>
              <w:t>Fluorochrome</w:t>
            </w:r>
          </w:p>
        </w:tc>
        <w:tc>
          <w:tcPr>
            <w:tcW w:w="1170"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vAlign w:val="bottom"/>
          </w:tcPr>
          <w:p w14:paraId="7F618BB6" w14:textId="77777777" w:rsidR="0054738E" w:rsidRDefault="0054738E" w:rsidP="0088603C">
            <w:pPr>
              <w:spacing w:after="0" w:line="360" w:lineRule="auto"/>
              <w:jc w:val="right"/>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Detector</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tcPr>
          <w:p w14:paraId="5C39B50F"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Clone</w:t>
            </w:r>
          </w:p>
        </w:tc>
        <w:tc>
          <w:tcPr>
            <w:tcW w:w="1485"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tcPr>
          <w:p w14:paraId="2CE3E8AD"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Cat. number</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000000" w:themeColor="text1"/>
              <w:left w:val="single" w:sz="6" w:space="0" w:color="auto"/>
              <w:bottom w:val="single" w:sz="6" w:space="0" w:color="auto"/>
              <w:right w:val="single" w:sz="6" w:space="0" w:color="000000" w:themeColor="text1"/>
            </w:tcBorders>
            <w:shd w:val="clear" w:color="auto" w:fill="AEAAAA" w:themeFill="background2" w:themeFillShade="BF"/>
            <w:vAlign w:val="bottom"/>
          </w:tcPr>
          <w:p w14:paraId="3E6201B9" w14:textId="77777777" w:rsidR="0054738E" w:rsidRDefault="0054738E" w:rsidP="0088603C">
            <w:pPr>
              <w:spacing w:after="0" w:line="360" w:lineRule="auto"/>
              <w:jc w:val="right"/>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Volume (μ)</w:t>
            </w:r>
            <w:r w:rsidRPr="529B0621">
              <w:rPr>
                <w:rFonts w:ascii="Times New Roman" w:eastAsia="Times New Roman" w:hAnsi="Times New Roman" w:cs="Times New Roman"/>
                <w:color w:val="000000" w:themeColor="text1"/>
                <w:sz w:val="24"/>
                <w:szCs w:val="24"/>
                <w:lang w:val="en-GB"/>
              </w:rPr>
              <w:t> </w:t>
            </w:r>
          </w:p>
        </w:tc>
      </w:tr>
      <w:tr w:rsidR="0054738E" w14:paraId="5A833616"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156475FB"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Viability</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4A0ED1F5"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FITC</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3599918D"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B530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5F719720"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Polyclonal</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23BF9CB7"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L23105</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08EBD626"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1/1000</w:t>
            </w:r>
            <w:r w:rsidRPr="529B0621">
              <w:rPr>
                <w:rFonts w:ascii="Times New Roman" w:eastAsia="Times New Roman" w:hAnsi="Times New Roman" w:cs="Times New Roman"/>
                <w:color w:val="000000" w:themeColor="text1"/>
                <w:sz w:val="24"/>
                <w:szCs w:val="24"/>
                <w:lang w:val="en-GB"/>
              </w:rPr>
              <w:t> </w:t>
            </w:r>
          </w:p>
        </w:tc>
      </w:tr>
      <w:tr w:rsidR="0054738E" w14:paraId="02F3D604"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76BED25D"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CD4</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11993AF7"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BV605</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3E77CEE7"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V610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15493E1A"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RM4-5</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35E0182E"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100547</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710C610B"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2.5</w:t>
            </w:r>
            <w:r w:rsidRPr="529B0621">
              <w:rPr>
                <w:rFonts w:ascii="Times New Roman" w:eastAsia="Times New Roman" w:hAnsi="Times New Roman" w:cs="Times New Roman"/>
                <w:color w:val="000000" w:themeColor="text1"/>
                <w:sz w:val="24"/>
                <w:szCs w:val="24"/>
                <w:lang w:val="en-GB"/>
              </w:rPr>
              <w:t> </w:t>
            </w:r>
          </w:p>
        </w:tc>
      </w:tr>
      <w:tr w:rsidR="0054738E" w14:paraId="72BEB18E"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5F660409"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CD45RA</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67B5AA08"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BV650</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3F48E0CE"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V670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69E507E4"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HI100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126C937E"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304135</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6A62FE32"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2</w:t>
            </w:r>
            <w:r w:rsidRPr="529B0621">
              <w:rPr>
                <w:rFonts w:ascii="Times New Roman" w:eastAsia="Times New Roman" w:hAnsi="Times New Roman" w:cs="Times New Roman"/>
                <w:color w:val="000000" w:themeColor="text1"/>
                <w:sz w:val="24"/>
                <w:szCs w:val="24"/>
                <w:lang w:val="en-GB"/>
              </w:rPr>
              <w:t> </w:t>
            </w:r>
          </w:p>
        </w:tc>
      </w:tr>
      <w:tr w:rsidR="0054738E" w14:paraId="15CFA2BC"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18AE9C49"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CD62L</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7DAE4E32"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22FABE6A"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YG586</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0867B1DE"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DREG-56</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0D1F3E76"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304805</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02ABD9D0"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w:t>
            </w:r>
            <w:r w:rsidRPr="529B0621">
              <w:rPr>
                <w:rFonts w:ascii="Times New Roman" w:eastAsia="Times New Roman" w:hAnsi="Times New Roman" w:cs="Times New Roman"/>
                <w:color w:val="000000" w:themeColor="text1"/>
                <w:sz w:val="24"/>
                <w:szCs w:val="24"/>
                <w:lang w:val="en-GB"/>
              </w:rPr>
              <w:t> </w:t>
            </w:r>
          </w:p>
        </w:tc>
      </w:tr>
      <w:tr w:rsidR="0054738E" w14:paraId="614CA528"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59A2B32E"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CD127</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51C0D4FC"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BV711</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6DB7A940"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V710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39E4F70F"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HIL-7R-M2</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1FE6C933"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563165</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73C17FB1"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w:t>
            </w:r>
            <w:r w:rsidRPr="529B0621">
              <w:rPr>
                <w:rFonts w:ascii="Times New Roman" w:eastAsia="Times New Roman" w:hAnsi="Times New Roman" w:cs="Times New Roman"/>
                <w:color w:val="000000" w:themeColor="text1"/>
                <w:sz w:val="24"/>
                <w:szCs w:val="24"/>
                <w:lang w:val="en-GB"/>
              </w:rPr>
              <w:t> </w:t>
            </w:r>
          </w:p>
        </w:tc>
      </w:tr>
      <w:tr w:rsidR="0054738E" w14:paraId="60935679"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5468D31C"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CD8</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5477C25F"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PE/Cy7</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11689141"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YG780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73991CD0"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SK1</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53F34C3A"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344711</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37C01FDE"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54738E" w14:paraId="6A9C741C"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0F693D19"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CD3</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53599317"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APC-Cy7</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2E6CBD3C"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R780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1CA48582"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17A2</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6EA2967A"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100221</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6E73C6BF"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54738E" w14:paraId="2D3C912C" w14:textId="77777777" w:rsidTr="0088603C">
        <w:trPr>
          <w:trHeight w:val="360"/>
        </w:trPr>
        <w:tc>
          <w:tcPr>
            <w:tcW w:w="1380" w:type="dxa"/>
            <w:tcBorders>
              <w:top w:val="single" w:sz="6" w:space="0" w:color="auto"/>
              <w:left w:val="single" w:sz="6" w:space="0" w:color="000000" w:themeColor="text1"/>
              <w:bottom w:val="single" w:sz="6" w:space="0" w:color="auto"/>
              <w:right w:val="single" w:sz="6" w:space="0" w:color="auto"/>
            </w:tcBorders>
            <w:vAlign w:val="bottom"/>
          </w:tcPr>
          <w:p w14:paraId="0F1F5794"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CD25 (2A3)</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406F707A"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APC</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0E3ADC81"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R670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0329EEB9"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M-A251</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7AB7E8F9"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356109</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000000" w:themeColor="text1"/>
            </w:tcBorders>
            <w:vAlign w:val="bottom"/>
          </w:tcPr>
          <w:p w14:paraId="7C719A62"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w:t>
            </w:r>
            <w:r w:rsidRPr="529B0621">
              <w:rPr>
                <w:rFonts w:ascii="Times New Roman" w:eastAsia="Times New Roman" w:hAnsi="Times New Roman" w:cs="Times New Roman"/>
                <w:color w:val="000000" w:themeColor="text1"/>
                <w:sz w:val="24"/>
                <w:szCs w:val="24"/>
                <w:lang w:val="en-GB"/>
              </w:rPr>
              <w:t> </w:t>
            </w:r>
          </w:p>
        </w:tc>
      </w:tr>
      <w:tr w:rsidR="0054738E" w14:paraId="0E54D088" w14:textId="77777777" w:rsidTr="0088603C">
        <w:trPr>
          <w:trHeight w:val="360"/>
        </w:trPr>
        <w:tc>
          <w:tcPr>
            <w:tcW w:w="1380" w:type="dxa"/>
            <w:tcBorders>
              <w:top w:val="single" w:sz="6" w:space="0" w:color="auto"/>
              <w:left w:val="single" w:sz="6" w:space="0" w:color="000000" w:themeColor="text1"/>
              <w:bottom w:val="single" w:sz="6" w:space="0" w:color="000000" w:themeColor="text1"/>
              <w:right w:val="single" w:sz="6" w:space="0" w:color="auto"/>
            </w:tcBorders>
            <w:vAlign w:val="bottom"/>
          </w:tcPr>
          <w:p w14:paraId="079A0A4C"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CD25</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000000" w:themeColor="text1"/>
              <w:right w:val="single" w:sz="6" w:space="0" w:color="auto"/>
            </w:tcBorders>
            <w:vAlign w:val="bottom"/>
          </w:tcPr>
          <w:p w14:paraId="3B89B9C3"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APC</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000000" w:themeColor="text1"/>
              <w:right w:val="single" w:sz="6" w:space="0" w:color="auto"/>
            </w:tcBorders>
            <w:vAlign w:val="bottom"/>
          </w:tcPr>
          <w:p w14:paraId="2DA83180"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R670</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000000" w:themeColor="text1"/>
              <w:right w:val="single" w:sz="6" w:space="0" w:color="auto"/>
            </w:tcBorders>
          </w:tcPr>
          <w:p w14:paraId="287FD62A"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BC96</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000000" w:themeColor="text1"/>
              <w:right w:val="single" w:sz="6" w:space="0" w:color="auto"/>
            </w:tcBorders>
          </w:tcPr>
          <w:p w14:paraId="4B47DADB"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302609</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000000" w:themeColor="text1"/>
              <w:right w:val="single" w:sz="6" w:space="0" w:color="000000" w:themeColor="text1"/>
            </w:tcBorders>
            <w:vAlign w:val="bottom"/>
          </w:tcPr>
          <w:p w14:paraId="1EA3D5FB" w14:textId="77777777" w:rsidR="0054738E" w:rsidRDefault="0054738E"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w:t>
            </w:r>
            <w:r w:rsidRPr="529B0621">
              <w:rPr>
                <w:rFonts w:ascii="Times New Roman" w:eastAsia="Times New Roman" w:hAnsi="Times New Roman" w:cs="Times New Roman"/>
                <w:color w:val="000000" w:themeColor="text1"/>
                <w:sz w:val="24"/>
                <w:szCs w:val="24"/>
                <w:lang w:val="en-GB"/>
              </w:rPr>
              <w:t> </w:t>
            </w:r>
          </w:p>
        </w:tc>
      </w:tr>
    </w:tbl>
    <w:p w14:paraId="66D0BCC8" w14:textId="77777777" w:rsidR="0054738E" w:rsidRDefault="0054738E" w:rsidP="0054738E"/>
    <w:p w14:paraId="2DE485A5" w14:textId="77777777" w:rsidR="005D4828" w:rsidRDefault="005D4828"/>
    <w:p w14:paraId="02AE37FF" w14:textId="77777777" w:rsidR="0054738E" w:rsidRDefault="0054738E"/>
    <w:p w14:paraId="4AB97D5A" w14:textId="77777777" w:rsidR="0054738E" w:rsidRDefault="0054738E"/>
    <w:p w14:paraId="3C17FFCE" w14:textId="77777777" w:rsidR="0054738E" w:rsidRDefault="0054738E"/>
    <w:p w14:paraId="1D30DC02" w14:textId="77777777" w:rsidR="0054738E" w:rsidRDefault="0054738E"/>
    <w:p w14:paraId="7EB8D702" w14:textId="77777777" w:rsidR="0054738E" w:rsidRDefault="0054738E"/>
    <w:p w14:paraId="4573FADD" w14:textId="77777777" w:rsidR="0054738E" w:rsidRDefault="0054738E"/>
    <w:p w14:paraId="7E12FE51" w14:textId="77777777" w:rsidR="0054738E" w:rsidRDefault="0054738E"/>
    <w:p w14:paraId="309511EF" w14:textId="77777777" w:rsidR="0054738E" w:rsidRDefault="0054738E"/>
    <w:p w14:paraId="123239C6" w14:textId="77777777" w:rsidR="0054738E" w:rsidRDefault="0054738E"/>
    <w:p w14:paraId="2BC4E16C" w14:textId="77777777" w:rsidR="0054738E" w:rsidRDefault="0054738E"/>
    <w:p w14:paraId="5B13B387" w14:textId="77777777" w:rsidR="0054738E" w:rsidRDefault="0054738E"/>
    <w:p w14:paraId="7E6129E0" w14:textId="77777777" w:rsidR="0054738E" w:rsidRDefault="0054738E"/>
    <w:p w14:paraId="354777A3" w14:textId="77777777" w:rsidR="00C616AD" w:rsidRDefault="00C616AD"/>
    <w:p w14:paraId="5D13332F" w14:textId="77777777" w:rsidR="00C616AD" w:rsidRDefault="00C616AD"/>
    <w:p w14:paraId="58396B0E" w14:textId="77777777" w:rsidR="0054738E" w:rsidRDefault="0054738E"/>
    <w:p w14:paraId="2578E474" w14:textId="77777777" w:rsidR="0054738E" w:rsidRDefault="0054738E"/>
    <w:p w14:paraId="1ACBB303" w14:textId="77777777" w:rsidR="00766C38" w:rsidRDefault="00766C38" w:rsidP="00766C38">
      <w:pPr>
        <w:spacing w:after="0" w:line="360" w:lineRule="auto"/>
        <w:jc w:val="both"/>
        <w:rPr>
          <w:rStyle w:val="normaltextrun"/>
          <w:rFonts w:ascii="Times New Roman" w:eastAsia="Times New Roman" w:hAnsi="Times New Roman" w:cs="Times New Roman"/>
          <w:b/>
          <w:bCs/>
          <w:color w:val="000000" w:themeColor="text1"/>
          <w:sz w:val="24"/>
          <w:szCs w:val="24"/>
        </w:rPr>
      </w:pPr>
      <w:r w:rsidRPr="529B0621">
        <w:rPr>
          <w:rStyle w:val="normaltextrun"/>
          <w:rFonts w:ascii="Times New Roman" w:eastAsia="Times New Roman" w:hAnsi="Times New Roman" w:cs="Times New Roman"/>
          <w:b/>
          <w:bCs/>
          <w:color w:val="000000" w:themeColor="text1"/>
          <w:sz w:val="24"/>
          <w:szCs w:val="24"/>
        </w:rPr>
        <w:lastRenderedPageBreak/>
        <w:t>Table S2 – Flow cytometry panel for perfusate Monocytes, Dendritic cells, and B cell subsets</w:t>
      </w:r>
    </w:p>
    <w:p w14:paraId="139F312A" w14:textId="77777777" w:rsidR="00766C38" w:rsidRDefault="00766C38" w:rsidP="00766C38">
      <w:pPr>
        <w:spacing w:after="0" w:line="360" w:lineRule="auto"/>
        <w:jc w:val="both"/>
        <w:rPr>
          <w:rFonts w:ascii="Calibri" w:eastAsia="Calibri" w:hAnsi="Calibri" w:cs="Calibri"/>
        </w:rPr>
      </w:pPr>
    </w:p>
    <w:tbl>
      <w:tblPr>
        <w:tblW w:w="0" w:type="auto"/>
        <w:tblLayout w:type="fixed"/>
        <w:tblLook w:val="04A0" w:firstRow="1" w:lastRow="0" w:firstColumn="1" w:lastColumn="0" w:noHBand="0" w:noVBand="1"/>
      </w:tblPr>
      <w:tblGrid>
        <w:gridCol w:w="1425"/>
        <w:gridCol w:w="1665"/>
        <w:gridCol w:w="1170"/>
        <w:gridCol w:w="1470"/>
        <w:gridCol w:w="1485"/>
        <w:gridCol w:w="1440"/>
      </w:tblGrid>
      <w:tr w:rsidR="00766C38" w14:paraId="0D24A721" w14:textId="77777777" w:rsidTr="0088603C">
        <w:trPr>
          <w:trHeight w:val="315"/>
        </w:trPr>
        <w:tc>
          <w:tcPr>
            <w:tcW w:w="1425" w:type="dxa"/>
            <w:tcBorders>
              <w:top w:val="single" w:sz="6" w:space="0" w:color="000000" w:themeColor="text1"/>
              <w:left w:val="single" w:sz="6" w:space="0" w:color="000000" w:themeColor="text1"/>
              <w:bottom w:val="single" w:sz="6" w:space="0" w:color="auto"/>
              <w:right w:val="single" w:sz="6" w:space="0" w:color="auto"/>
            </w:tcBorders>
            <w:shd w:val="clear" w:color="auto" w:fill="AEAAAA" w:themeFill="background2" w:themeFillShade="BF"/>
            <w:vAlign w:val="bottom"/>
          </w:tcPr>
          <w:p w14:paraId="5D2DDF23"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Antibody</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vAlign w:val="bottom"/>
          </w:tcPr>
          <w:p w14:paraId="43D63B79"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lang w:val="en-GB"/>
              </w:rPr>
              <w:t>Fluorochrome</w:t>
            </w:r>
          </w:p>
        </w:tc>
        <w:tc>
          <w:tcPr>
            <w:tcW w:w="1170"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vAlign w:val="bottom"/>
          </w:tcPr>
          <w:p w14:paraId="0CB4712B"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Detector</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tcPr>
          <w:p w14:paraId="01663ACB"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p>
          <w:p w14:paraId="49EA2BC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Clone</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000000" w:themeColor="text1"/>
              <w:left w:val="single" w:sz="6" w:space="0" w:color="auto"/>
              <w:bottom w:val="single" w:sz="6" w:space="0" w:color="auto"/>
              <w:right w:val="single" w:sz="6" w:space="0" w:color="auto"/>
            </w:tcBorders>
            <w:shd w:val="clear" w:color="auto" w:fill="AEAAAA" w:themeFill="background2" w:themeFillShade="BF"/>
          </w:tcPr>
          <w:p w14:paraId="379D52D2"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Cat. Number</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000000" w:themeColor="text1"/>
              <w:left w:val="single" w:sz="6" w:space="0" w:color="auto"/>
              <w:bottom w:val="single" w:sz="6" w:space="0" w:color="auto"/>
              <w:right w:val="single" w:sz="6" w:space="0" w:color="000000" w:themeColor="text1"/>
            </w:tcBorders>
            <w:shd w:val="clear" w:color="auto" w:fill="AEAAAA" w:themeFill="background2" w:themeFillShade="BF"/>
            <w:vAlign w:val="bottom"/>
          </w:tcPr>
          <w:p w14:paraId="297F2113"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lang w:val="en-GB"/>
              </w:rPr>
            </w:pPr>
            <w:r w:rsidRPr="529B0621">
              <w:rPr>
                <w:rFonts w:ascii="Times New Roman" w:eastAsia="Times New Roman" w:hAnsi="Times New Roman" w:cs="Times New Roman"/>
                <w:color w:val="000000" w:themeColor="text1"/>
                <w:sz w:val="24"/>
                <w:szCs w:val="24"/>
              </w:rPr>
              <w:t>Volume(</w:t>
            </w:r>
            <w:proofErr w:type="spellStart"/>
            <w:r w:rsidRPr="529B0621">
              <w:rPr>
                <w:rFonts w:ascii="Times New Roman" w:eastAsia="Times New Roman" w:hAnsi="Times New Roman" w:cs="Times New Roman"/>
                <w:color w:val="000000" w:themeColor="text1"/>
                <w:sz w:val="24"/>
                <w:szCs w:val="24"/>
              </w:rPr>
              <w:t>μl</w:t>
            </w:r>
            <w:proofErr w:type="spellEnd"/>
            <w:r w:rsidRPr="529B0621">
              <w:rPr>
                <w:rFonts w:ascii="Times New Roman" w:eastAsia="Times New Roman" w:hAnsi="Times New Roman" w:cs="Times New Roman"/>
                <w:color w:val="000000" w:themeColor="text1"/>
                <w:sz w:val="24"/>
                <w:szCs w:val="24"/>
              </w:rPr>
              <w:t>)</w:t>
            </w:r>
          </w:p>
        </w:tc>
      </w:tr>
      <w:tr w:rsidR="00766C38" w14:paraId="55238BD5"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shd w:val="clear" w:color="auto" w:fill="FFFFFF" w:themeFill="background1"/>
            <w:vAlign w:val="bottom"/>
          </w:tcPr>
          <w:p w14:paraId="522C4C91"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Viability</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08823DA2"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FITC</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078312FF"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B530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4A7C7B61"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Polyclonal</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Pr>
          <w:p w14:paraId="249621AA"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L23105</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shd w:val="clear" w:color="auto" w:fill="FFFFFF" w:themeFill="background1"/>
            <w:vAlign w:val="bottom"/>
          </w:tcPr>
          <w:p w14:paraId="2E96400A"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1/1000</w:t>
            </w:r>
            <w:r w:rsidRPr="529B0621">
              <w:rPr>
                <w:rFonts w:ascii="Times New Roman" w:eastAsia="Times New Roman" w:hAnsi="Times New Roman" w:cs="Times New Roman"/>
                <w:color w:val="000000" w:themeColor="text1"/>
                <w:sz w:val="24"/>
                <w:szCs w:val="24"/>
                <w:lang w:val="en-GB"/>
              </w:rPr>
              <w:t> </w:t>
            </w:r>
          </w:p>
        </w:tc>
      </w:tr>
      <w:tr w:rsidR="00766C38" w14:paraId="192BE2BD"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4FB8602A"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CD123</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6F4E19C6"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BV421</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223FBE1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V450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026B2C7B"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6H6</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649614CB"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306017</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6CA88CBB"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7564AED0"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43A6296D"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CD38</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58902059"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V510</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2C35E9CC"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V525</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2B570D6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HIT2</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45AAF207"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303539</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4A13D1C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4990FA1B"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32935FB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CD24</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5ACCD15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V605</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7E88D8B7"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V610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62EECEF4"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M1/69</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7E8644D2"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101827</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000B38DC"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48FDBD5B"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59D7C1C3"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CD27</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45314928"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BV711</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0ED04BEA"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V710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67FD155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O323</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73279EF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302833</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52094736"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2</w:t>
            </w:r>
            <w:r w:rsidRPr="529B0621">
              <w:rPr>
                <w:rFonts w:ascii="Times New Roman" w:eastAsia="Times New Roman" w:hAnsi="Times New Roman" w:cs="Times New Roman"/>
                <w:color w:val="000000" w:themeColor="text1"/>
                <w:sz w:val="24"/>
                <w:szCs w:val="24"/>
                <w:lang w:val="en-GB"/>
              </w:rPr>
              <w:t> </w:t>
            </w:r>
          </w:p>
        </w:tc>
      </w:tr>
      <w:tr w:rsidR="00766C38" w14:paraId="0E6B4320"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495624A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HLA-DR</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08C7DC6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BV785</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76601451"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V780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5EF855A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L243</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77FA7C4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307641</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5F7E616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335353B8"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shd w:val="clear" w:color="auto" w:fill="FFFFFF" w:themeFill="background1"/>
            <w:vAlign w:val="bottom"/>
          </w:tcPr>
          <w:p w14:paraId="43FAD786"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CD19</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092B12AA"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APC/CY7</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5477B536"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R780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0F6FADF7"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SJ25C1</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Pr>
          <w:p w14:paraId="4A718BEF"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363009</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shd w:val="clear" w:color="auto" w:fill="FFFFFF" w:themeFill="background1"/>
            <w:vAlign w:val="bottom"/>
          </w:tcPr>
          <w:p w14:paraId="01123A4D"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2</w:t>
            </w:r>
            <w:r w:rsidRPr="529B0621">
              <w:rPr>
                <w:rFonts w:ascii="Times New Roman" w:eastAsia="Times New Roman" w:hAnsi="Times New Roman" w:cs="Times New Roman"/>
                <w:color w:val="000000" w:themeColor="text1"/>
                <w:sz w:val="24"/>
                <w:szCs w:val="24"/>
                <w:lang w:val="en-GB"/>
              </w:rPr>
              <w:t> </w:t>
            </w:r>
          </w:p>
        </w:tc>
      </w:tr>
      <w:tr w:rsidR="00766C38" w14:paraId="4B3EF5B2"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1EBF991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CD16</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3760747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proofErr w:type="spellStart"/>
            <w:r w:rsidRPr="529B0621">
              <w:rPr>
                <w:rFonts w:ascii="Times New Roman" w:eastAsia="Times New Roman" w:hAnsi="Times New Roman" w:cs="Times New Roman"/>
                <w:color w:val="000000" w:themeColor="text1"/>
                <w:sz w:val="24"/>
                <w:szCs w:val="24"/>
              </w:rPr>
              <w:t>PerCP</w:t>
            </w:r>
            <w:proofErr w:type="spellEnd"/>
            <w:r w:rsidRPr="529B0621">
              <w:rPr>
                <w:rFonts w:ascii="Times New Roman" w:eastAsia="Times New Roman" w:hAnsi="Times New Roman" w:cs="Times New Roman"/>
                <w:color w:val="000000" w:themeColor="text1"/>
                <w:sz w:val="24"/>
                <w:szCs w:val="24"/>
              </w:rPr>
              <w:t>/Cy5.5</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0A5FB88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YG710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1537E2E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3G8</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1C076333"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302027</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62755B5D"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0CF9D297" w14:textId="77777777" w:rsidTr="0088603C">
        <w:trPr>
          <w:trHeight w:val="315"/>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4964919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CD3</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32334014"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732E056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YG586</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4791F47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UCHT1</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455D68E7"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300407</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2B8E4BAC"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60E243B8" w14:textId="77777777" w:rsidTr="0088603C">
        <w:trPr>
          <w:trHeight w:val="300"/>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67109ACF"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CD11c</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030FDAA2"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PE/Dazzle</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12432DC1"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YG610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363F01BC"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N418</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2A3251C1"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117347</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67772563"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1</w:t>
            </w:r>
            <w:r w:rsidRPr="529B0621">
              <w:rPr>
                <w:rFonts w:ascii="Times New Roman" w:eastAsia="Times New Roman" w:hAnsi="Times New Roman" w:cs="Times New Roman"/>
                <w:color w:val="000000" w:themeColor="text1"/>
                <w:sz w:val="24"/>
                <w:szCs w:val="24"/>
                <w:lang w:val="en-GB"/>
              </w:rPr>
              <w:t> </w:t>
            </w:r>
          </w:p>
        </w:tc>
      </w:tr>
      <w:tr w:rsidR="00766C38" w14:paraId="1C25367A" w14:textId="77777777" w:rsidTr="0088603C">
        <w:trPr>
          <w:trHeight w:val="300"/>
        </w:trPr>
        <w:tc>
          <w:tcPr>
            <w:tcW w:w="1425" w:type="dxa"/>
            <w:tcBorders>
              <w:top w:val="single" w:sz="6" w:space="0" w:color="auto"/>
              <w:left w:val="single" w:sz="6" w:space="0" w:color="000000" w:themeColor="text1"/>
              <w:bottom w:val="single" w:sz="6" w:space="0" w:color="auto"/>
              <w:right w:val="single" w:sz="6" w:space="0" w:color="auto"/>
            </w:tcBorders>
            <w:vAlign w:val="bottom"/>
          </w:tcPr>
          <w:p w14:paraId="634CD43D"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CD14</w:t>
            </w:r>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auto"/>
              <w:right w:val="single" w:sz="6" w:space="0" w:color="auto"/>
            </w:tcBorders>
            <w:vAlign w:val="bottom"/>
          </w:tcPr>
          <w:p w14:paraId="157725AB"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PE/Cy7</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auto"/>
              <w:right w:val="single" w:sz="6" w:space="0" w:color="auto"/>
            </w:tcBorders>
            <w:vAlign w:val="bottom"/>
          </w:tcPr>
          <w:p w14:paraId="16ECCE1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YG780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auto"/>
              <w:right w:val="single" w:sz="6" w:space="0" w:color="auto"/>
            </w:tcBorders>
          </w:tcPr>
          <w:p w14:paraId="15AC02D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M5E2</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auto"/>
              <w:right w:val="single" w:sz="6" w:space="0" w:color="auto"/>
            </w:tcBorders>
          </w:tcPr>
          <w:p w14:paraId="02F5661F"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301813</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auto"/>
              <w:right w:val="single" w:sz="6" w:space="0" w:color="000000" w:themeColor="text1"/>
            </w:tcBorders>
            <w:vAlign w:val="bottom"/>
          </w:tcPr>
          <w:p w14:paraId="1B5B6458"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2</w:t>
            </w:r>
            <w:r w:rsidRPr="529B0621">
              <w:rPr>
                <w:rFonts w:ascii="Times New Roman" w:eastAsia="Times New Roman" w:hAnsi="Times New Roman" w:cs="Times New Roman"/>
                <w:color w:val="000000" w:themeColor="text1"/>
                <w:sz w:val="24"/>
                <w:szCs w:val="24"/>
                <w:lang w:val="en-GB"/>
              </w:rPr>
              <w:t> </w:t>
            </w:r>
          </w:p>
        </w:tc>
      </w:tr>
      <w:tr w:rsidR="00766C38" w14:paraId="70C92F94" w14:textId="77777777" w:rsidTr="0088603C">
        <w:trPr>
          <w:trHeight w:val="300"/>
        </w:trPr>
        <w:tc>
          <w:tcPr>
            <w:tcW w:w="1425" w:type="dxa"/>
            <w:tcBorders>
              <w:top w:val="single" w:sz="6" w:space="0" w:color="auto"/>
              <w:left w:val="single" w:sz="6" w:space="0" w:color="000000" w:themeColor="text1"/>
              <w:bottom w:val="single" w:sz="6" w:space="0" w:color="000000" w:themeColor="text1"/>
              <w:right w:val="single" w:sz="6" w:space="0" w:color="auto"/>
            </w:tcBorders>
            <w:vAlign w:val="bottom"/>
          </w:tcPr>
          <w:p w14:paraId="5AA79AC5"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proofErr w:type="spellStart"/>
            <w:r w:rsidRPr="529B0621">
              <w:rPr>
                <w:rFonts w:ascii="Times New Roman" w:eastAsia="Times New Roman" w:hAnsi="Times New Roman" w:cs="Times New Roman"/>
                <w:color w:val="000000" w:themeColor="text1"/>
                <w:sz w:val="24"/>
                <w:szCs w:val="24"/>
              </w:rPr>
              <w:t>IgD</w:t>
            </w:r>
            <w:proofErr w:type="spellEnd"/>
            <w:r w:rsidRPr="529B0621">
              <w:rPr>
                <w:rFonts w:ascii="Times New Roman" w:eastAsia="Times New Roman" w:hAnsi="Times New Roman" w:cs="Times New Roman"/>
                <w:color w:val="000000" w:themeColor="text1"/>
                <w:sz w:val="24"/>
                <w:szCs w:val="24"/>
                <w:lang w:val="en-GB"/>
              </w:rPr>
              <w:t> </w:t>
            </w:r>
          </w:p>
        </w:tc>
        <w:tc>
          <w:tcPr>
            <w:tcW w:w="1665" w:type="dxa"/>
            <w:tcBorders>
              <w:top w:val="single" w:sz="6" w:space="0" w:color="auto"/>
              <w:left w:val="single" w:sz="6" w:space="0" w:color="auto"/>
              <w:bottom w:val="single" w:sz="6" w:space="0" w:color="000000" w:themeColor="text1"/>
              <w:right w:val="single" w:sz="6" w:space="0" w:color="auto"/>
            </w:tcBorders>
            <w:vAlign w:val="bottom"/>
          </w:tcPr>
          <w:p w14:paraId="6AE95719"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APC</w:t>
            </w:r>
            <w:r w:rsidRPr="529B0621">
              <w:rPr>
                <w:rFonts w:ascii="Times New Roman" w:eastAsia="Times New Roman" w:hAnsi="Times New Roman" w:cs="Times New Roman"/>
                <w:color w:val="000000" w:themeColor="text1"/>
                <w:sz w:val="24"/>
                <w:szCs w:val="24"/>
                <w:lang w:val="en-GB"/>
              </w:rPr>
              <w:t> </w:t>
            </w:r>
          </w:p>
        </w:tc>
        <w:tc>
          <w:tcPr>
            <w:tcW w:w="1170" w:type="dxa"/>
            <w:tcBorders>
              <w:top w:val="single" w:sz="6" w:space="0" w:color="auto"/>
              <w:left w:val="single" w:sz="6" w:space="0" w:color="auto"/>
              <w:bottom w:val="single" w:sz="6" w:space="0" w:color="000000" w:themeColor="text1"/>
              <w:right w:val="single" w:sz="6" w:space="0" w:color="auto"/>
            </w:tcBorders>
            <w:vAlign w:val="bottom"/>
          </w:tcPr>
          <w:p w14:paraId="14BF4AA1"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R670</w:t>
            </w:r>
            <w:r w:rsidRPr="529B0621">
              <w:rPr>
                <w:rFonts w:ascii="Times New Roman" w:eastAsia="Times New Roman" w:hAnsi="Times New Roman" w:cs="Times New Roman"/>
                <w:color w:val="000000" w:themeColor="text1"/>
                <w:sz w:val="24"/>
                <w:szCs w:val="24"/>
                <w:lang w:val="en-GB"/>
              </w:rPr>
              <w:t> </w:t>
            </w:r>
          </w:p>
        </w:tc>
        <w:tc>
          <w:tcPr>
            <w:tcW w:w="1470" w:type="dxa"/>
            <w:tcBorders>
              <w:top w:val="single" w:sz="6" w:space="0" w:color="auto"/>
              <w:left w:val="single" w:sz="6" w:space="0" w:color="auto"/>
              <w:bottom w:val="single" w:sz="6" w:space="0" w:color="000000" w:themeColor="text1"/>
              <w:right w:val="single" w:sz="6" w:space="0" w:color="auto"/>
            </w:tcBorders>
          </w:tcPr>
          <w:p w14:paraId="099EAF60"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IA6-2</w:t>
            </w:r>
            <w:r w:rsidRPr="529B0621">
              <w:rPr>
                <w:rFonts w:ascii="Times New Roman" w:eastAsia="Times New Roman" w:hAnsi="Times New Roman" w:cs="Times New Roman"/>
                <w:color w:val="000000" w:themeColor="text1"/>
                <w:sz w:val="24"/>
                <w:szCs w:val="24"/>
                <w:lang w:val="en-GB"/>
              </w:rPr>
              <w:t> </w:t>
            </w:r>
          </w:p>
        </w:tc>
        <w:tc>
          <w:tcPr>
            <w:tcW w:w="1485" w:type="dxa"/>
            <w:tcBorders>
              <w:top w:val="single" w:sz="6" w:space="0" w:color="auto"/>
              <w:left w:val="single" w:sz="6" w:space="0" w:color="auto"/>
              <w:bottom w:val="single" w:sz="6" w:space="0" w:color="000000" w:themeColor="text1"/>
              <w:right w:val="single" w:sz="6" w:space="0" w:color="auto"/>
            </w:tcBorders>
          </w:tcPr>
          <w:p w14:paraId="27BAA1C9"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348221</w:t>
            </w:r>
            <w:r w:rsidRPr="529B0621">
              <w:rPr>
                <w:rFonts w:ascii="Times New Roman" w:eastAsia="Times New Roman" w:hAnsi="Times New Roman" w:cs="Times New Roman"/>
                <w:color w:val="000000" w:themeColor="text1"/>
                <w:sz w:val="24"/>
                <w:szCs w:val="24"/>
                <w:lang w:val="en-GB"/>
              </w:rPr>
              <w:t> </w:t>
            </w:r>
          </w:p>
        </w:tc>
        <w:tc>
          <w:tcPr>
            <w:tcW w:w="1440" w:type="dxa"/>
            <w:tcBorders>
              <w:top w:val="single" w:sz="6" w:space="0" w:color="auto"/>
              <w:left w:val="single" w:sz="6" w:space="0" w:color="auto"/>
              <w:bottom w:val="single" w:sz="6" w:space="0" w:color="000000" w:themeColor="text1"/>
              <w:right w:val="single" w:sz="6" w:space="0" w:color="000000" w:themeColor="text1"/>
            </w:tcBorders>
            <w:vAlign w:val="bottom"/>
          </w:tcPr>
          <w:p w14:paraId="3DDD606E" w14:textId="77777777" w:rsidR="00766C38" w:rsidRDefault="00766C38" w:rsidP="0088603C">
            <w:pPr>
              <w:spacing w:after="0" w:line="360" w:lineRule="auto"/>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2</w:t>
            </w:r>
            <w:r w:rsidRPr="529B0621">
              <w:rPr>
                <w:rFonts w:ascii="Times New Roman" w:eastAsia="Times New Roman" w:hAnsi="Times New Roman" w:cs="Times New Roman"/>
                <w:color w:val="000000" w:themeColor="text1"/>
                <w:sz w:val="24"/>
                <w:szCs w:val="24"/>
                <w:lang w:val="en-GB"/>
              </w:rPr>
              <w:t> </w:t>
            </w:r>
          </w:p>
        </w:tc>
      </w:tr>
    </w:tbl>
    <w:p w14:paraId="713335E0" w14:textId="77777777" w:rsidR="00766C38" w:rsidRDefault="00766C38" w:rsidP="00766C38">
      <w:pPr>
        <w:spacing w:after="0" w:line="360" w:lineRule="auto"/>
        <w:jc w:val="both"/>
        <w:rPr>
          <w:rStyle w:val="normaltextrun"/>
          <w:rFonts w:ascii="Times New Roman" w:eastAsia="Times New Roman" w:hAnsi="Times New Roman" w:cs="Times New Roman"/>
          <w:b/>
          <w:bCs/>
          <w:color w:val="000000" w:themeColor="text1"/>
          <w:sz w:val="24"/>
          <w:szCs w:val="24"/>
        </w:rPr>
      </w:pPr>
    </w:p>
    <w:p w14:paraId="36A56A98" w14:textId="77777777" w:rsidR="0054738E" w:rsidRDefault="0054738E"/>
    <w:p w14:paraId="74A76931" w14:textId="77777777" w:rsidR="00E3667D" w:rsidRDefault="00E3667D"/>
    <w:p w14:paraId="7B04BD4D" w14:textId="77777777" w:rsidR="00E3667D" w:rsidRDefault="00E3667D"/>
    <w:p w14:paraId="2E5C924F" w14:textId="77777777" w:rsidR="00E3667D" w:rsidRDefault="00E3667D"/>
    <w:p w14:paraId="47B82891" w14:textId="77777777" w:rsidR="00E3667D" w:rsidRDefault="00E3667D"/>
    <w:p w14:paraId="352C8C9C" w14:textId="77777777" w:rsidR="00E3667D" w:rsidRDefault="00E3667D"/>
    <w:p w14:paraId="6E04FF3A" w14:textId="77777777" w:rsidR="00E3667D" w:rsidRDefault="00E3667D"/>
    <w:p w14:paraId="7B122E55" w14:textId="77777777" w:rsidR="00E3667D" w:rsidRDefault="00E3667D"/>
    <w:p w14:paraId="23243047" w14:textId="77777777" w:rsidR="00E3667D" w:rsidRDefault="00E3667D"/>
    <w:p w14:paraId="11D8CD4A" w14:textId="77777777" w:rsidR="00E3667D" w:rsidRDefault="00E3667D"/>
    <w:p w14:paraId="36293D15" w14:textId="77777777" w:rsidR="00C616AD" w:rsidRDefault="00C616AD"/>
    <w:p w14:paraId="48D3D08E" w14:textId="77777777" w:rsidR="00C616AD" w:rsidRDefault="00C616AD"/>
    <w:p w14:paraId="444AAB29" w14:textId="77777777" w:rsidR="00C616AD" w:rsidRDefault="00C616AD"/>
    <w:p w14:paraId="7F0DC5EA" w14:textId="77777777" w:rsidR="00640DE8" w:rsidRDefault="00640DE8" w:rsidP="00640DE8">
      <w:pPr>
        <w:spacing w:after="0" w:line="360" w:lineRule="auto"/>
        <w:jc w:val="both"/>
        <w:rPr>
          <w:rStyle w:val="normaltextrun"/>
          <w:rFonts w:ascii="Times New Roman" w:eastAsia="Times New Roman" w:hAnsi="Times New Roman" w:cs="Times New Roman"/>
          <w:b/>
          <w:bCs/>
          <w:color w:val="000000" w:themeColor="text1"/>
          <w:sz w:val="24"/>
          <w:szCs w:val="24"/>
        </w:rPr>
      </w:pPr>
    </w:p>
    <w:p w14:paraId="4E6EAE46" w14:textId="77777777" w:rsidR="00640DE8" w:rsidRDefault="00640DE8" w:rsidP="00640DE8">
      <w:pPr>
        <w:spacing w:after="0" w:line="360" w:lineRule="auto"/>
        <w:jc w:val="both"/>
        <w:rPr>
          <w:rFonts w:ascii="Times New Roman" w:eastAsia="Times New Roman" w:hAnsi="Times New Roman" w:cs="Times New Roman"/>
          <w:sz w:val="24"/>
          <w:szCs w:val="24"/>
        </w:rPr>
      </w:pPr>
      <w:r w:rsidRPr="529B0621">
        <w:rPr>
          <w:rFonts w:ascii="Times New Roman" w:eastAsia="Times New Roman" w:hAnsi="Times New Roman" w:cs="Times New Roman"/>
          <w:b/>
          <w:bCs/>
          <w:color w:val="000000" w:themeColor="text1"/>
          <w:sz w:val="24"/>
          <w:szCs w:val="24"/>
        </w:rPr>
        <w:lastRenderedPageBreak/>
        <w:t>Table S3. Extracellular master mix for intracellular cytokine staining mix.</w:t>
      </w:r>
    </w:p>
    <w:p w14:paraId="07208E79" w14:textId="77777777" w:rsidR="00640DE8" w:rsidRDefault="00640DE8" w:rsidP="00640DE8">
      <w:pPr>
        <w:spacing w:after="0" w:line="360" w:lineRule="auto"/>
        <w:jc w:val="both"/>
        <w:rPr>
          <w:rStyle w:val="normaltextrun"/>
          <w:rFonts w:ascii="Times New Roman" w:eastAsia="Times New Roman" w:hAnsi="Times New Roman" w:cs="Times New Roman"/>
          <w:b/>
          <w:bCs/>
          <w:color w:val="000000" w:themeColor="text1"/>
          <w:sz w:val="24"/>
          <w:szCs w:val="24"/>
        </w:rPr>
      </w:pPr>
    </w:p>
    <w:tbl>
      <w:tblPr>
        <w:tblStyle w:val="TableGrid"/>
        <w:tblW w:w="0" w:type="auto"/>
        <w:tblLayout w:type="fixed"/>
        <w:tblLook w:val="0000" w:firstRow="0" w:lastRow="0" w:firstColumn="0" w:lastColumn="0" w:noHBand="0" w:noVBand="0"/>
      </w:tblPr>
      <w:tblGrid>
        <w:gridCol w:w="2940"/>
        <w:gridCol w:w="2310"/>
        <w:gridCol w:w="1890"/>
      </w:tblGrid>
      <w:tr w:rsidR="00640DE8" w14:paraId="37EBDCEF" w14:textId="77777777" w:rsidTr="0088603C">
        <w:trPr>
          <w:trHeight w:val="255"/>
        </w:trPr>
        <w:tc>
          <w:tcPr>
            <w:tcW w:w="294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07065FAC" w14:textId="77777777" w:rsidR="00640DE8" w:rsidRDefault="00640DE8" w:rsidP="0088603C">
            <w:pPr>
              <w:spacing w:line="360" w:lineRule="auto"/>
              <w:contextualSpacing/>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Antibody</w:t>
            </w:r>
          </w:p>
        </w:tc>
        <w:tc>
          <w:tcPr>
            <w:tcW w:w="231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1A91074E" w14:textId="77777777" w:rsidR="00640DE8" w:rsidRDefault="00640DE8" w:rsidP="0088603C">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Color</w:t>
            </w:r>
          </w:p>
        </w:tc>
        <w:tc>
          <w:tcPr>
            <w:tcW w:w="189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48D1E931" w14:textId="77777777" w:rsidR="00640DE8" w:rsidRDefault="00640DE8" w:rsidP="0088603C">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Volume (</w:t>
            </w:r>
            <w:r w:rsidRPr="529B0621">
              <w:rPr>
                <w:rFonts w:ascii="Times New Roman" w:eastAsia="Times New Roman" w:hAnsi="Times New Roman" w:cs="Times New Roman"/>
                <w:b/>
                <w:bCs/>
                <w:color w:val="000000" w:themeColor="text1"/>
                <w:sz w:val="24"/>
                <w:szCs w:val="24"/>
                <w:lang w:val="el-GR"/>
              </w:rPr>
              <w:t>μ</w:t>
            </w:r>
            <w:r w:rsidRPr="529B0621">
              <w:rPr>
                <w:rFonts w:ascii="Times New Roman" w:eastAsia="Times New Roman" w:hAnsi="Times New Roman" w:cs="Times New Roman"/>
                <w:b/>
                <w:bCs/>
                <w:color w:val="000000" w:themeColor="text1"/>
                <w:sz w:val="24"/>
                <w:szCs w:val="24"/>
              </w:rPr>
              <w:t>l)</w:t>
            </w:r>
          </w:p>
        </w:tc>
      </w:tr>
      <w:tr w:rsidR="00640DE8" w14:paraId="5E841174" w14:textId="77777777" w:rsidTr="0088603C">
        <w:trPr>
          <w:trHeight w:val="240"/>
        </w:trPr>
        <w:tc>
          <w:tcPr>
            <w:tcW w:w="2940" w:type="dxa"/>
            <w:tcBorders>
              <w:top w:val="single" w:sz="6" w:space="0" w:color="auto"/>
              <w:left w:val="single" w:sz="6" w:space="0" w:color="auto"/>
              <w:bottom w:val="single" w:sz="6" w:space="0" w:color="auto"/>
              <w:right w:val="single" w:sz="6" w:space="0" w:color="auto"/>
            </w:tcBorders>
            <w:tcMar>
              <w:left w:w="105" w:type="dxa"/>
              <w:right w:w="105" w:type="dxa"/>
            </w:tcMar>
          </w:tcPr>
          <w:p w14:paraId="6E879862" w14:textId="77777777" w:rsidR="00640DE8" w:rsidRDefault="00640DE8" w:rsidP="0088603C">
            <w:pPr>
              <w:spacing w:line="360" w:lineRule="auto"/>
              <w:contextualSpacing/>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CD4 (</w:t>
            </w:r>
            <w:proofErr w:type="spellStart"/>
            <w:r w:rsidRPr="529B0621">
              <w:rPr>
                <w:rFonts w:ascii="Times New Roman" w:eastAsia="Times New Roman" w:hAnsi="Times New Roman" w:cs="Times New Roman"/>
                <w:sz w:val="24"/>
                <w:szCs w:val="24"/>
              </w:rPr>
              <w:t>Biolegend</w:t>
            </w:r>
            <w:proofErr w:type="spellEnd"/>
            <w:r w:rsidRPr="529B0621">
              <w:rPr>
                <w:rFonts w:ascii="Times New Roman" w:eastAsia="Times New Roman" w:hAnsi="Times New Roman" w:cs="Times New Roman"/>
                <w:sz w:val="24"/>
                <w:szCs w:val="24"/>
              </w:rPr>
              <w:t>)</w:t>
            </w:r>
          </w:p>
        </w:tc>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62EDE674"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APC-CY7</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tcPr>
          <w:p w14:paraId="5BAEDDE9"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3.5</w:t>
            </w:r>
          </w:p>
        </w:tc>
      </w:tr>
      <w:tr w:rsidR="00640DE8" w14:paraId="585CCB7D" w14:textId="77777777" w:rsidTr="0088603C">
        <w:trPr>
          <w:trHeight w:val="255"/>
        </w:trPr>
        <w:tc>
          <w:tcPr>
            <w:tcW w:w="2940" w:type="dxa"/>
            <w:tcBorders>
              <w:top w:val="single" w:sz="6" w:space="0" w:color="auto"/>
              <w:left w:val="single" w:sz="6" w:space="0" w:color="auto"/>
              <w:bottom w:val="single" w:sz="6" w:space="0" w:color="auto"/>
              <w:right w:val="single" w:sz="6" w:space="0" w:color="auto"/>
            </w:tcBorders>
            <w:tcMar>
              <w:left w:w="105" w:type="dxa"/>
              <w:right w:w="105" w:type="dxa"/>
            </w:tcMar>
          </w:tcPr>
          <w:p w14:paraId="0B9E78DE" w14:textId="77777777" w:rsidR="00640DE8" w:rsidRDefault="00640DE8" w:rsidP="0088603C">
            <w:pPr>
              <w:spacing w:line="360" w:lineRule="auto"/>
              <w:contextualSpacing/>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 xml:space="preserve"> CD8 (</w:t>
            </w:r>
            <w:proofErr w:type="spellStart"/>
            <w:r w:rsidRPr="529B0621">
              <w:rPr>
                <w:rFonts w:ascii="Times New Roman" w:eastAsia="Times New Roman" w:hAnsi="Times New Roman" w:cs="Times New Roman"/>
                <w:sz w:val="24"/>
                <w:szCs w:val="24"/>
              </w:rPr>
              <w:t>Biolegend</w:t>
            </w:r>
            <w:proofErr w:type="spellEnd"/>
            <w:r w:rsidRPr="529B0621">
              <w:rPr>
                <w:rFonts w:ascii="Times New Roman" w:eastAsia="Times New Roman" w:hAnsi="Times New Roman" w:cs="Times New Roman"/>
                <w:sz w:val="24"/>
                <w:szCs w:val="24"/>
              </w:rPr>
              <w:t>)</w:t>
            </w:r>
          </w:p>
        </w:tc>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598F9B70"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PE-CY7</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tcPr>
          <w:p w14:paraId="754AF9C4"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2</w:t>
            </w:r>
          </w:p>
        </w:tc>
      </w:tr>
      <w:tr w:rsidR="00640DE8" w14:paraId="09D53283" w14:textId="77777777" w:rsidTr="0088603C">
        <w:trPr>
          <w:trHeight w:val="240"/>
        </w:trPr>
        <w:tc>
          <w:tcPr>
            <w:tcW w:w="2940" w:type="dxa"/>
            <w:tcBorders>
              <w:top w:val="single" w:sz="6" w:space="0" w:color="auto"/>
              <w:left w:val="single" w:sz="6" w:space="0" w:color="auto"/>
              <w:bottom w:val="single" w:sz="6" w:space="0" w:color="auto"/>
              <w:right w:val="single" w:sz="6" w:space="0" w:color="auto"/>
            </w:tcBorders>
            <w:tcMar>
              <w:left w:w="105" w:type="dxa"/>
              <w:right w:w="105" w:type="dxa"/>
            </w:tcMar>
          </w:tcPr>
          <w:p w14:paraId="7AF75AD7" w14:textId="77777777" w:rsidR="00640DE8" w:rsidRDefault="00640DE8" w:rsidP="0088603C">
            <w:pPr>
              <w:spacing w:line="360" w:lineRule="auto"/>
              <w:contextualSpacing/>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Responders (Added on D0) (e-Bioscience)</w:t>
            </w:r>
          </w:p>
        </w:tc>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7E64E18A"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APC</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tcPr>
          <w:p w14:paraId="7F2D59A6"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1</w:t>
            </w:r>
          </w:p>
        </w:tc>
      </w:tr>
      <w:tr w:rsidR="00640DE8" w14:paraId="0B56F547" w14:textId="77777777" w:rsidTr="0088603C">
        <w:trPr>
          <w:trHeight w:val="255"/>
        </w:trPr>
        <w:tc>
          <w:tcPr>
            <w:tcW w:w="2940" w:type="dxa"/>
            <w:tcBorders>
              <w:top w:val="single" w:sz="6" w:space="0" w:color="auto"/>
              <w:left w:val="single" w:sz="6" w:space="0" w:color="auto"/>
              <w:bottom w:val="single" w:sz="6" w:space="0" w:color="auto"/>
              <w:right w:val="single" w:sz="6" w:space="0" w:color="auto"/>
            </w:tcBorders>
            <w:tcMar>
              <w:left w:w="105" w:type="dxa"/>
              <w:right w:w="105" w:type="dxa"/>
            </w:tcMar>
          </w:tcPr>
          <w:p w14:paraId="52FF9325" w14:textId="77777777" w:rsidR="00640DE8" w:rsidRDefault="00640DE8" w:rsidP="0088603C">
            <w:pPr>
              <w:spacing w:line="360" w:lineRule="auto"/>
              <w:contextualSpacing/>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Stimulants (Added on D0) (e-Bioscience)</w:t>
            </w:r>
          </w:p>
        </w:tc>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31BCDE31"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V450</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tcPr>
          <w:p w14:paraId="35A4B8EC"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1</w:t>
            </w:r>
          </w:p>
        </w:tc>
      </w:tr>
      <w:tr w:rsidR="00640DE8" w14:paraId="5704E031" w14:textId="77777777" w:rsidTr="0088603C">
        <w:trPr>
          <w:trHeight w:val="240"/>
        </w:trPr>
        <w:tc>
          <w:tcPr>
            <w:tcW w:w="2940" w:type="dxa"/>
            <w:tcBorders>
              <w:top w:val="single" w:sz="6" w:space="0" w:color="auto"/>
              <w:left w:val="single" w:sz="6" w:space="0" w:color="auto"/>
              <w:bottom w:val="single" w:sz="6" w:space="0" w:color="auto"/>
              <w:right w:val="single" w:sz="6" w:space="0" w:color="auto"/>
            </w:tcBorders>
            <w:tcMar>
              <w:left w:w="105" w:type="dxa"/>
              <w:right w:w="105" w:type="dxa"/>
            </w:tcMar>
          </w:tcPr>
          <w:p w14:paraId="220C5978" w14:textId="77777777" w:rsidR="00640DE8" w:rsidRDefault="00640DE8" w:rsidP="0088603C">
            <w:pPr>
              <w:spacing w:line="360" w:lineRule="auto"/>
              <w:contextualSpacing/>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Viability (Invitrogen)</w:t>
            </w:r>
          </w:p>
        </w:tc>
        <w:tc>
          <w:tcPr>
            <w:tcW w:w="2310" w:type="dxa"/>
            <w:tcBorders>
              <w:top w:val="single" w:sz="6" w:space="0" w:color="auto"/>
              <w:left w:val="single" w:sz="6" w:space="0" w:color="auto"/>
              <w:bottom w:val="single" w:sz="6" w:space="0" w:color="auto"/>
              <w:right w:val="single" w:sz="6" w:space="0" w:color="auto"/>
            </w:tcBorders>
            <w:tcMar>
              <w:left w:w="105" w:type="dxa"/>
              <w:right w:w="105" w:type="dxa"/>
            </w:tcMar>
          </w:tcPr>
          <w:p w14:paraId="4ED11EAB"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V450</w:t>
            </w:r>
          </w:p>
        </w:tc>
        <w:tc>
          <w:tcPr>
            <w:tcW w:w="1890" w:type="dxa"/>
            <w:tcBorders>
              <w:top w:val="single" w:sz="6" w:space="0" w:color="auto"/>
              <w:left w:val="single" w:sz="6" w:space="0" w:color="auto"/>
              <w:bottom w:val="single" w:sz="6" w:space="0" w:color="auto"/>
              <w:right w:val="single" w:sz="6" w:space="0" w:color="auto"/>
            </w:tcBorders>
            <w:tcMar>
              <w:left w:w="105" w:type="dxa"/>
              <w:right w:w="105" w:type="dxa"/>
            </w:tcMar>
          </w:tcPr>
          <w:p w14:paraId="47926A4D" w14:textId="77777777" w:rsidR="00640DE8" w:rsidRDefault="00640DE8" w:rsidP="0088603C">
            <w:pPr>
              <w:spacing w:line="360" w:lineRule="auto"/>
              <w:contextualSpacing/>
              <w:jc w:val="center"/>
              <w:rPr>
                <w:rFonts w:ascii="Times New Roman" w:eastAsia="Times New Roman" w:hAnsi="Times New Roman" w:cs="Times New Roman"/>
                <w:sz w:val="24"/>
                <w:szCs w:val="24"/>
              </w:rPr>
            </w:pPr>
            <w:r w:rsidRPr="529B0621">
              <w:rPr>
                <w:rFonts w:ascii="Times New Roman" w:eastAsia="Times New Roman" w:hAnsi="Times New Roman" w:cs="Times New Roman"/>
                <w:sz w:val="24"/>
                <w:szCs w:val="24"/>
              </w:rPr>
              <w:t>1</w:t>
            </w:r>
          </w:p>
        </w:tc>
      </w:tr>
    </w:tbl>
    <w:p w14:paraId="711997EE" w14:textId="77777777" w:rsidR="00640DE8" w:rsidRDefault="00640DE8" w:rsidP="00640DE8">
      <w:pPr>
        <w:spacing w:after="0" w:line="360" w:lineRule="auto"/>
        <w:jc w:val="both"/>
        <w:rPr>
          <w:rFonts w:ascii="Times New Roman" w:eastAsia="Times New Roman" w:hAnsi="Times New Roman" w:cs="Times New Roman"/>
          <w:color w:val="000000" w:themeColor="text1"/>
          <w:sz w:val="24"/>
          <w:szCs w:val="24"/>
        </w:rPr>
      </w:pPr>
    </w:p>
    <w:p w14:paraId="00D9CBC3" w14:textId="77777777" w:rsidR="00E3667D" w:rsidRDefault="00E3667D"/>
    <w:p w14:paraId="6580916D" w14:textId="77777777" w:rsidR="002D5881" w:rsidRDefault="002D5881"/>
    <w:p w14:paraId="1AACCCF1" w14:textId="77777777" w:rsidR="002D5881" w:rsidRDefault="002D5881"/>
    <w:p w14:paraId="74C723D0" w14:textId="77777777" w:rsidR="002D5881" w:rsidRDefault="002D5881"/>
    <w:p w14:paraId="5A11533A" w14:textId="77777777" w:rsidR="002D5881" w:rsidRDefault="002D5881"/>
    <w:p w14:paraId="13A22658" w14:textId="77777777" w:rsidR="002D5881" w:rsidRDefault="002D5881"/>
    <w:p w14:paraId="488EF1D0" w14:textId="77777777" w:rsidR="002D5881" w:rsidRDefault="002D5881"/>
    <w:p w14:paraId="54FFC88F" w14:textId="77777777" w:rsidR="002D5881" w:rsidRDefault="002D5881"/>
    <w:p w14:paraId="5A6835C0" w14:textId="77777777" w:rsidR="002D5881" w:rsidRDefault="002D5881"/>
    <w:p w14:paraId="1D86CA41" w14:textId="77777777" w:rsidR="002D5881" w:rsidRDefault="002D5881"/>
    <w:p w14:paraId="2FA06345" w14:textId="77777777" w:rsidR="002D5881" w:rsidRDefault="002D5881"/>
    <w:p w14:paraId="0C201F38" w14:textId="77777777" w:rsidR="002D5881" w:rsidRDefault="002D5881"/>
    <w:p w14:paraId="7112F3AE" w14:textId="77777777" w:rsidR="002D5881" w:rsidRDefault="002D5881"/>
    <w:p w14:paraId="16A5724E" w14:textId="77777777" w:rsidR="00C616AD" w:rsidRDefault="00C616AD"/>
    <w:p w14:paraId="10A749C0" w14:textId="77777777" w:rsidR="00C616AD" w:rsidRDefault="00C616AD"/>
    <w:p w14:paraId="2C8D866A" w14:textId="77777777" w:rsidR="00C616AD" w:rsidRDefault="00C616AD"/>
    <w:p w14:paraId="29CF2662" w14:textId="77777777" w:rsidR="00C616AD" w:rsidRDefault="00C616AD"/>
    <w:p w14:paraId="580F1EC1" w14:textId="77777777" w:rsidR="002D5881" w:rsidRDefault="002D5881"/>
    <w:p w14:paraId="5B4A4531" w14:textId="77777777" w:rsidR="002D5881" w:rsidRDefault="002D5881"/>
    <w:p w14:paraId="511E6176" w14:textId="77777777" w:rsidR="002D5881" w:rsidRDefault="002D5881"/>
    <w:p w14:paraId="32607F6C" w14:textId="420959FE" w:rsidR="00E63C8B" w:rsidRDefault="00E63C8B" w:rsidP="00E63C8B">
      <w:pPr>
        <w:spacing w:after="0" w:line="360" w:lineRule="auto"/>
        <w:jc w:val="both"/>
        <w:rPr>
          <w:rFonts w:ascii="Times New Roman" w:eastAsia="Times New Roman" w:hAnsi="Times New Roman" w:cs="Times New Roman"/>
          <w:sz w:val="24"/>
          <w:szCs w:val="24"/>
        </w:rPr>
      </w:pPr>
      <w:r w:rsidRPr="529B0621">
        <w:rPr>
          <w:rFonts w:ascii="Times New Roman" w:eastAsia="Times New Roman" w:hAnsi="Times New Roman" w:cs="Times New Roman"/>
          <w:b/>
          <w:bCs/>
          <w:color w:val="000000" w:themeColor="text1"/>
          <w:sz w:val="24"/>
          <w:szCs w:val="24"/>
        </w:rPr>
        <w:lastRenderedPageBreak/>
        <w:t>Table S4. Intracellular antibodies and IGG controls for intracellular cytokine staining</w:t>
      </w:r>
      <w:r>
        <w:rPr>
          <w:rFonts w:ascii="Times New Roman" w:eastAsia="Times New Roman" w:hAnsi="Times New Roman" w:cs="Times New Roman"/>
          <w:b/>
          <w:bCs/>
          <w:color w:val="000000" w:themeColor="text1"/>
          <w:sz w:val="24"/>
          <w:szCs w:val="24"/>
        </w:rPr>
        <w:t xml:space="preserve"> </w:t>
      </w:r>
      <w:r w:rsidRPr="529B0621">
        <w:rPr>
          <w:rFonts w:ascii="Times New Roman" w:eastAsia="Times New Roman" w:hAnsi="Times New Roman" w:cs="Times New Roman"/>
          <w:b/>
          <w:bCs/>
          <w:color w:val="000000" w:themeColor="text1"/>
          <w:sz w:val="24"/>
          <w:szCs w:val="24"/>
        </w:rPr>
        <w:t>mix.</w:t>
      </w:r>
    </w:p>
    <w:p w14:paraId="3B051D03" w14:textId="77777777" w:rsidR="00E63C8B" w:rsidRDefault="00E63C8B" w:rsidP="00E63C8B">
      <w:pPr>
        <w:spacing w:after="0" w:line="360" w:lineRule="auto"/>
        <w:jc w:val="center"/>
        <w:rPr>
          <w:rFonts w:ascii="Times New Roman" w:eastAsia="Times New Roman" w:hAnsi="Times New Roman" w:cs="Times New Roman"/>
          <w:b/>
          <w:bCs/>
          <w:color w:val="000000" w:themeColor="text1"/>
          <w:sz w:val="24"/>
          <w:szCs w:val="24"/>
        </w:rPr>
      </w:pPr>
    </w:p>
    <w:tbl>
      <w:tblPr>
        <w:tblStyle w:val="TableGrid"/>
        <w:tblW w:w="0" w:type="auto"/>
        <w:jc w:val="center"/>
        <w:tblLayout w:type="fixed"/>
        <w:tblLook w:val="0000" w:firstRow="0" w:lastRow="0" w:firstColumn="0" w:lastColumn="0" w:noHBand="0" w:noVBand="0"/>
      </w:tblPr>
      <w:tblGrid>
        <w:gridCol w:w="1320"/>
        <w:gridCol w:w="1335"/>
        <w:gridCol w:w="1530"/>
      </w:tblGrid>
      <w:tr w:rsidR="00E63C8B" w14:paraId="03DFD60C" w14:textId="77777777" w:rsidTr="00E63C8B">
        <w:trPr>
          <w:trHeight w:val="255"/>
          <w:jc w:val="center"/>
        </w:trPr>
        <w:tc>
          <w:tcPr>
            <w:tcW w:w="132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4E36E091"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Isotype</w:t>
            </w:r>
          </w:p>
        </w:tc>
        <w:tc>
          <w:tcPr>
            <w:tcW w:w="133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2A520AC5"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Color</w:t>
            </w:r>
          </w:p>
        </w:tc>
        <w:tc>
          <w:tcPr>
            <w:tcW w:w="153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2873F738"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Volume (</w:t>
            </w:r>
            <w:r w:rsidRPr="529B0621">
              <w:rPr>
                <w:rFonts w:ascii="Times New Roman" w:eastAsia="Times New Roman" w:hAnsi="Times New Roman" w:cs="Times New Roman"/>
                <w:b/>
                <w:bCs/>
                <w:color w:val="000000" w:themeColor="text1"/>
                <w:sz w:val="24"/>
                <w:szCs w:val="24"/>
                <w:lang w:val="el-GR"/>
              </w:rPr>
              <w:t>μ</w:t>
            </w:r>
            <w:r w:rsidRPr="529B0621">
              <w:rPr>
                <w:rFonts w:ascii="Times New Roman" w:eastAsia="Times New Roman" w:hAnsi="Times New Roman" w:cs="Times New Roman"/>
                <w:b/>
                <w:bCs/>
                <w:color w:val="000000" w:themeColor="text1"/>
                <w:sz w:val="24"/>
                <w:szCs w:val="24"/>
              </w:rPr>
              <w:t>l)</w:t>
            </w:r>
          </w:p>
        </w:tc>
      </w:tr>
      <w:tr w:rsidR="00E63C8B" w14:paraId="68261702" w14:textId="77777777" w:rsidTr="00E63C8B">
        <w:trPr>
          <w:trHeight w:val="240"/>
          <w:jc w:val="center"/>
        </w:trPr>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3D232E66"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IgG1</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09B7E70F"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w:t>
            </w:r>
          </w:p>
        </w:tc>
        <w:tc>
          <w:tcPr>
            <w:tcW w:w="1530" w:type="dxa"/>
            <w:tcBorders>
              <w:top w:val="single" w:sz="6" w:space="0" w:color="auto"/>
              <w:left w:val="single" w:sz="6" w:space="0" w:color="auto"/>
              <w:bottom w:val="single" w:sz="6" w:space="0" w:color="auto"/>
              <w:right w:val="single" w:sz="6" w:space="0" w:color="auto"/>
            </w:tcBorders>
            <w:tcMar>
              <w:left w:w="105" w:type="dxa"/>
              <w:right w:w="105" w:type="dxa"/>
            </w:tcMar>
          </w:tcPr>
          <w:p w14:paraId="6F27E26B"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w:t>
            </w:r>
          </w:p>
        </w:tc>
      </w:tr>
      <w:tr w:rsidR="00E63C8B" w14:paraId="0EE4C449" w14:textId="77777777" w:rsidTr="00E63C8B">
        <w:trPr>
          <w:trHeight w:val="255"/>
          <w:jc w:val="center"/>
        </w:trPr>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184D968C"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IgG</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73954522"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FITC</w:t>
            </w:r>
          </w:p>
        </w:tc>
        <w:tc>
          <w:tcPr>
            <w:tcW w:w="1530" w:type="dxa"/>
            <w:tcBorders>
              <w:top w:val="single" w:sz="6" w:space="0" w:color="auto"/>
              <w:left w:val="single" w:sz="6" w:space="0" w:color="auto"/>
              <w:bottom w:val="single" w:sz="6" w:space="0" w:color="auto"/>
              <w:right w:val="single" w:sz="6" w:space="0" w:color="auto"/>
            </w:tcBorders>
            <w:tcMar>
              <w:left w:w="105" w:type="dxa"/>
              <w:right w:w="105" w:type="dxa"/>
            </w:tcMar>
          </w:tcPr>
          <w:p w14:paraId="408A261C"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w:t>
            </w:r>
          </w:p>
        </w:tc>
      </w:tr>
      <w:tr w:rsidR="00E63C8B" w14:paraId="64906702" w14:textId="77777777" w:rsidTr="00E63C8B">
        <w:trPr>
          <w:trHeight w:val="255"/>
          <w:jc w:val="center"/>
        </w:trPr>
        <w:tc>
          <w:tcPr>
            <w:tcW w:w="132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794ADC43"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Antibody</w:t>
            </w:r>
          </w:p>
        </w:tc>
        <w:tc>
          <w:tcPr>
            <w:tcW w:w="133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47F0FBF0"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Color</w:t>
            </w:r>
          </w:p>
        </w:tc>
        <w:tc>
          <w:tcPr>
            <w:tcW w:w="1530"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left w:w="105" w:type="dxa"/>
              <w:right w:w="105" w:type="dxa"/>
            </w:tcMar>
          </w:tcPr>
          <w:p w14:paraId="02FDFAEF"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b/>
                <w:bCs/>
                <w:color w:val="000000" w:themeColor="text1"/>
                <w:sz w:val="24"/>
                <w:szCs w:val="24"/>
              </w:rPr>
              <w:t>Volume (</w:t>
            </w:r>
            <w:r w:rsidRPr="529B0621">
              <w:rPr>
                <w:rFonts w:ascii="Times New Roman" w:eastAsia="Times New Roman" w:hAnsi="Times New Roman" w:cs="Times New Roman"/>
                <w:b/>
                <w:bCs/>
                <w:color w:val="000000" w:themeColor="text1"/>
                <w:sz w:val="24"/>
                <w:szCs w:val="24"/>
                <w:lang w:val="el-GR"/>
              </w:rPr>
              <w:t>μ</w:t>
            </w:r>
            <w:r w:rsidRPr="529B0621">
              <w:rPr>
                <w:rFonts w:ascii="Times New Roman" w:eastAsia="Times New Roman" w:hAnsi="Times New Roman" w:cs="Times New Roman"/>
                <w:b/>
                <w:bCs/>
                <w:color w:val="000000" w:themeColor="text1"/>
                <w:sz w:val="24"/>
                <w:szCs w:val="24"/>
              </w:rPr>
              <w:t>l)</w:t>
            </w:r>
          </w:p>
        </w:tc>
      </w:tr>
      <w:tr w:rsidR="00E63C8B" w14:paraId="79905647" w14:textId="77777777" w:rsidTr="00E63C8B">
        <w:trPr>
          <w:trHeight w:val="255"/>
          <w:jc w:val="center"/>
        </w:trPr>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12CC9CCF"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proofErr w:type="spellStart"/>
            <w:r w:rsidRPr="529B0621">
              <w:rPr>
                <w:rFonts w:ascii="Times New Roman" w:eastAsia="Times New Roman" w:hAnsi="Times New Roman" w:cs="Times New Roman"/>
                <w:color w:val="000000" w:themeColor="text1"/>
                <w:sz w:val="24"/>
                <w:szCs w:val="24"/>
              </w:rPr>
              <w:t>IFNg</w:t>
            </w:r>
            <w:proofErr w:type="spellEnd"/>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4EA87CF3"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PE</w:t>
            </w:r>
          </w:p>
        </w:tc>
        <w:tc>
          <w:tcPr>
            <w:tcW w:w="1530" w:type="dxa"/>
            <w:tcBorders>
              <w:top w:val="single" w:sz="6" w:space="0" w:color="auto"/>
              <w:left w:val="single" w:sz="6" w:space="0" w:color="auto"/>
              <w:bottom w:val="single" w:sz="6" w:space="0" w:color="auto"/>
              <w:right w:val="single" w:sz="6" w:space="0" w:color="auto"/>
            </w:tcBorders>
            <w:tcMar>
              <w:left w:w="105" w:type="dxa"/>
              <w:right w:w="105" w:type="dxa"/>
            </w:tcMar>
          </w:tcPr>
          <w:p w14:paraId="30CE689F"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w:t>
            </w:r>
          </w:p>
        </w:tc>
      </w:tr>
      <w:tr w:rsidR="00E63C8B" w14:paraId="1C359F30" w14:textId="77777777" w:rsidTr="00E63C8B">
        <w:trPr>
          <w:trHeight w:val="60"/>
          <w:jc w:val="center"/>
        </w:trPr>
        <w:tc>
          <w:tcPr>
            <w:tcW w:w="1320" w:type="dxa"/>
            <w:tcBorders>
              <w:top w:val="single" w:sz="6" w:space="0" w:color="auto"/>
              <w:left w:val="single" w:sz="6" w:space="0" w:color="auto"/>
              <w:bottom w:val="single" w:sz="6" w:space="0" w:color="auto"/>
              <w:right w:val="single" w:sz="6" w:space="0" w:color="auto"/>
            </w:tcBorders>
            <w:tcMar>
              <w:left w:w="105" w:type="dxa"/>
              <w:right w:w="105" w:type="dxa"/>
            </w:tcMar>
          </w:tcPr>
          <w:p w14:paraId="314ADCAD"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Granzyme B</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2000AE7E"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FITC</w:t>
            </w:r>
          </w:p>
        </w:tc>
        <w:tc>
          <w:tcPr>
            <w:tcW w:w="1530" w:type="dxa"/>
            <w:tcBorders>
              <w:top w:val="single" w:sz="6" w:space="0" w:color="auto"/>
              <w:left w:val="single" w:sz="6" w:space="0" w:color="auto"/>
              <w:bottom w:val="single" w:sz="6" w:space="0" w:color="auto"/>
              <w:right w:val="single" w:sz="6" w:space="0" w:color="auto"/>
            </w:tcBorders>
            <w:tcMar>
              <w:left w:w="105" w:type="dxa"/>
              <w:right w:w="105" w:type="dxa"/>
            </w:tcMar>
          </w:tcPr>
          <w:p w14:paraId="5532E2DA" w14:textId="77777777" w:rsidR="00E63C8B" w:rsidRDefault="00E63C8B" w:rsidP="00E63C8B">
            <w:pPr>
              <w:spacing w:line="360" w:lineRule="auto"/>
              <w:contextualSpacing/>
              <w:jc w:val="center"/>
              <w:rPr>
                <w:rFonts w:ascii="Times New Roman" w:eastAsia="Times New Roman" w:hAnsi="Times New Roman" w:cs="Times New Roman"/>
                <w:color w:val="000000" w:themeColor="text1"/>
                <w:sz w:val="24"/>
                <w:szCs w:val="24"/>
              </w:rPr>
            </w:pPr>
            <w:r w:rsidRPr="529B0621">
              <w:rPr>
                <w:rFonts w:ascii="Times New Roman" w:eastAsia="Times New Roman" w:hAnsi="Times New Roman" w:cs="Times New Roman"/>
                <w:color w:val="000000" w:themeColor="text1"/>
                <w:sz w:val="24"/>
                <w:szCs w:val="24"/>
              </w:rPr>
              <w:t>5</w:t>
            </w:r>
          </w:p>
        </w:tc>
      </w:tr>
    </w:tbl>
    <w:p w14:paraId="5028ADAF" w14:textId="77777777" w:rsidR="00E63C8B" w:rsidRDefault="00E63C8B" w:rsidP="00E63C8B">
      <w:pPr>
        <w:spacing w:after="0" w:line="360" w:lineRule="auto"/>
        <w:jc w:val="center"/>
        <w:rPr>
          <w:rFonts w:ascii="Times New Roman" w:eastAsia="Times New Roman" w:hAnsi="Times New Roman" w:cs="Times New Roman"/>
          <w:color w:val="000000" w:themeColor="text1"/>
          <w:sz w:val="24"/>
          <w:szCs w:val="24"/>
        </w:rPr>
      </w:pPr>
    </w:p>
    <w:p w14:paraId="439BE3B9" w14:textId="77777777" w:rsidR="00E63C8B" w:rsidRDefault="00E63C8B" w:rsidP="00E63C8B">
      <w:pPr>
        <w:spacing w:after="0" w:line="360" w:lineRule="auto"/>
        <w:jc w:val="center"/>
        <w:rPr>
          <w:rFonts w:ascii="Times New Roman" w:eastAsia="Times New Roman" w:hAnsi="Times New Roman" w:cs="Times New Roman"/>
          <w:color w:val="000000" w:themeColor="text1"/>
          <w:sz w:val="24"/>
          <w:szCs w:val="24"/>
        </w:rPr>
      </w:pPr>
    </w:p>
    <w:p w14:paraId="4E7BFF2E" w14:textId="77777777" w:rsidR="00E63C8B" w:rsidRDefault="00E63C8B" w:rsidP="00E63C8B">
      <w:pPr>
        <w:spacing w:after="0" w:line="360" w:lineRule="auto"/>
        <w:jc w:val="center"/>
        <w:rPr>
          <w:rFonts w:ascii="Times New Roman" w:eastAsia="Times New Roman" w:hAnsi="Times New Roman" w:cs="Times New Roman"/>
          <w:color w:val="000000" w:themeColor="text1"/>
          <w:sz w:val="24"/>
          <w:szCs w:val="24"/>
        </w:rPr>
      </w:pPr>
    </w:p>
    <w:p w14:paraId="7E89D885" w14:textId="77777777" w:rsidR="002D5881" w:rsidRDefault="002D5881"/>
    <w:p w14:paraId="6B1B7D25" w14:textId="77777777" w:rsidR="006E18B4" w:rsidRDefault="006E18B4"/>
    <w:p w14:paraId="5354A9E2" w14:textId="77777777" w:rsidR="006E18B4" w:rsidRDefault="006E18B4"/>
    <w:p w14:paraId="727F5977" w14:textId="77777777" w:rsidR="006E18B4" w:rsidRDefault="006E18B4"/>
    <w:p w14:paraId="5A5BB92C" w14:textId="77777777" w:rsidR="006E18B4" w:rsidRDefault="006E18B4"/>
    <w:p w14:paraId="08E8ACCC" w14:textId="77777777" w:rsidR="006E18B4" w:rsidRDefault="006E18B4"/>
    <w:p w14:paraId="7EE15361" w14:textId="77777777" w:rsidR="006E18B4" w:rsidRDefault="006E18B4"/>
    <w:p w14:paraId="6DA073A9" w14:textId="77777777" w:rsidR="006E18B4" w:rsidRDefault="006E18B4"/>
    <w:p w14:paraId="78F08331" w14:textId="77777777" w:rsidR="006E18B4" w:rsidRDefault="006E18B4"/>
    <w:p w14:paraId="37627E75" w14:textId="77777777" w:rsidR="006E18B4" w:rsidRDefault="006E18B4"/>
    <w:p w14:paraId="2958D431" w14:textId="77777777" w:rsidR="006E18B4" w:rsidRDefault="006E18B4"/>
    <w:p w14:paraId="2429B29C" w14:textId="77777777" w:rsidR="006E18B4" w:rsidRDefault="006E18B4"/>
    <w:p w14:paraId="5217F241" w14:textId="77777777" w:rsidR="006E18B4" w:rsidRDefault="006E18B4"/>
    <w:p w14:paraId="7DE648CA" w14:textId="77777777" w:rsidR="006E18B4" w:rsidRDefault="006E18B4"/>
    <w:p w14:paraId="7CF2CF82" w14:textId="77777777" w:rsidR="006E18B4" w:rsidRDefault="006E18B4"/>
    <w:p w14:paraId="17589BA3" w14:textId="77777777" w:rsidR="006E18B4" w:rsidRDefault="006E18B4"/>
    <w:p w14:paraId="61C0244D" w14:textId="77777777" w:rsidR="006E18B4" w:rsidRDefault="006E18B4"/>
    <w:p w14:paraId="0D295EB0" w14:textId="77777777" w:rsidR="006E18B4" w:rsidRDefault="006E18B4"/>
    <w:p w14:paraId="48127CE5" w14:textId="77777777" w:rsidR="006E18B4" w:rsidRDefault="006E18B4"/>
    <w:p w14:paraId="0EA716C8" w14:textId="0947D330" w:rsidR="00C616AD" w:rsidRDefault="004E6463">
      <w:r>
        <w:rPr>
          <w:noProof/>
        </w:rPr>
        <w:object w:dxaOrig="10654" w:dyaOrig="7870" w14:anchorId="25961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2pt;height:346.25pt;mso-width-percent:0;mso-height-percent:0;mso-width-percent:0;mso-height-percent:0" o:ole="">
            <v:imagedata r:id="rId8" o:title=""/>
          </v:shape>
          <o:OLEObject Type="Embed" ProgID="Prism9.Document" ShapeID="_x0000_i1025" DrawAspect="Content" ObjectID="_1784359610" r:id="rId9"/>
        </w:object>
      </w:r>
    </w:p>
    <w:p w14:paraId="1BB521BD" w14:textId="77777777" w:rsidR="00221C7B" w:rsidRDefault="00221C7B"/>
    <w:p w14:paraId="208E3589" w14:textId="11F02060" w:rsidR="00221C7B" w:rsidRDefault="00221C7B" w:rsidP="3D552D15">
      <w:pPr>
        <w:spacing w:line="360" w:lineRule="auto"/>
        <w:jc w:val="both"/>
        <w:rPr>
          <w:rFonts w:asciiTheme="majorBidi" w:hAnsiTheme="majorBidi" w:cstheme="majorBidi"/>
          <w:sz w:val="24"/>
          <w:szCs w:val="24"/>
        </w:rPr>
      </w:pPr>
      <w:r w:rsidRPr="0020352E">
        <w:rPr>
          <w:rFonts w:asciiTheme="majorBidi" w:hAnsiTheme="majorBidi" w:cstheme="majorBidi"/>
          <w:b/>
          <w:bCs/>
          <w:sz w:val="24"/>
          <w:szCs w:val="24"/>
        </w:rPr>
        <w:t xml:space="preserve">Figure S1. HOPE treated livers exhibit reduced alloreactive CD4+ and CD8+ cytokine secretion responses. (A) </w:t>
      </w:r>
      <w:r w:rsidRPr="0020352E">
        <w:rPr>
          <w:rFonts w:asciiTheme="majorBidi" w:hAnsiTheme="majorBidi" w:cstheme="majorBidi"/>
          <w:sz w:val="24"/>
          <w:szCs w:val="24"/>
        </w:rPr>
        <w:t>Quantification of alloreactive index for CD4+ Precursor frequency and CD8+ Precursor frequency in the two sample groups (SCS and HOPE) following a 5-day culture of recipient PBMCs with either Donor or Third-party allogenic cells. (</w:t>
      </w:r>
      <w:r w:rsidRPr="0020352E">
        <w:rPr>
          <w:rFonts w:asciiTheme="majorBidi" w:hAnsiTheme="majorBidi" w:cstheme="majorBidi"/>
          <w:b/>
          <w:bCs/>
          <w:sz w:val="24"/>
          <w:szCs w:val="24"/>
        </w:rPr>
        <w:t>B)</w:t>
      </w:r>
      <w:r w:rsidRPr="0020352E">
        <w:rPr>
          <w:rFonts w:asciiTheme="majorBidi" w:hAnsiTheme="majorBidi" w:cstheme="majorBidi"/>
          <w:sz w:val="24"/>
          <w:szCs w:val="24"/>
        </w:rPr>
        <w:t xml:space="preserve"> Alloreactivity index calculated from intracellular cytokine staining of </w:t>
      </w:r>
      <w:proofErr w:type="spellStart"/>
      <w:r w:rsidRPr="0020352E">
        <w:rPr>
          <w:rFonts w:asciiTheme="majorBidi" w:hAnsiTheme="majorBidi" w:cstheme="majorBidi"/>
          <w:sz w:val="24"/>
          <w:szCs w:val="24"/>
        </w:rPr>
        <w:t>IFNg</w:t>
      </w:r>
      <w:proofErr w:type="spellEnd"/>
      <w:r w:rsidRPr="0020352E">
        <w:rPr>
          <w:rFonts w:asciiTheme="majorBidi" w:hAnsiTheme="majorBidi" w:cstheme="majorBidi"/>
          <w:sz w:val="24"/>
          <w:szCs w:val="24"/>
        </w:rPr>
        <w:t xml:space="preserve"> CD4+ secreting T cells and Granzyme B </w:t>
      </w:r>
      <w:r w:rsidRPr="004B77CD">
        <w:rPr>
          <w:rFonts w:asciiTheme="majorBidi" w:hAnsiTheme="majorBidi" w:cstheme="majorBidi"/>
          <w:sz w:val="24"/>
          <w:szCs w:val="24"/>
        </w:rPr>
        <w:t xml:space="preserve">secreting CD8+ T cells following 5 days co-culture. Time-points include pre-transplantation baseline (BSN), week 2 following transplantation (W2) and month 3 following transplantation (M3). </w:t>
      </w:r>
      <w:r w:rsidR="00FC1062" w:rsidRPr="004B77CD">
        <w:rPr>
          <w:rFonts w:asciiTheme="majorBidi" w:hAnsiTheme="majorBidi" w:cstheme="majorBidi"/>
          <w:sz w:val="24"/>
          <w:szCs w:val="24"/>
        </w:rPr>
        <w:t>Each d</w:t>
      </w:r>
      <w:r w:rsidR="00211264" w:rsidRPr="004B77CD">
        <w:rPr>
          <w:rFonts w:asciiTheme="majorBidi" w:hAnsiTheme="majorBidi" w:cstheme="majorBidi"/>
          <w:sz w:val="24"/>
          <w:szCs w:val="24"/>
        </w:rPr>
        <w:t>ata point on the dot plot corresponds to</w:t>
      </w:r>
      <w:r w:rsidR="00CA0CC6" w:rsidRPr="004B77CD">
        <w:rPr>
          <w:rFonts w:asciiTheme="majorBidi" w:hAnsiTheme="majorBidi" w:cstheme="majorBidi"/>
          <w:sz w:val="24"/>
          <w:szCs w:val="24"/>
        </w:rPr>
        <w:t xml:space="preserve"> an individual </w:t>
      </w:r>
      <w:r w:rsidR="00F75DC5" w:rsidRPr="004B77CD">
        <w:rPr>
          <w:rFonts w:asciiTheme="majorBidi" w:hAnsiTheme="majorBidi" w:cstheme="majorBidi"/>
          <w:sz w:val="24"/>
          <w:szCs w:val="24"/>
        </w:rPr>
        <w:t xml:space="preserve">patient and </w:t>
      </w:r>
      <w:r w:rsidR="00211264" w:rsidRPr="004B77CD">
        <w:rPr>
          <w:rFonts w:asciiTheme="majorBidi" w:hAnsiTheme="majorBidi" w:cstheme="majorBidi"/>
          <w:sz w:val="24"/>
          <w:szCs w:val="24"/>
        </w:rPr>
        <w:t xml:space="preserve">represents </w:t>
      </w:r>
      <w:r w:rsidR="00F75DC5" w:rsidRPr="004B77CD">
        <w:rPr>
          <w:rFonts w:asciiTheme="majorBidi" w:hAnsiTheme="majorBidi" w:cstheme="majorBidi"/>
          <w:sz w:val="24"/>
          <w:szCs w:val="24"/>
        </w:rPr>
        <w:t>an average of 3 replicates per experiment</w:t>
      </w:r>
      <w:r w:rsidR="00FC1062" w:rsidRPr="004B77CD">
        <w:rPr>
          <w:rFonts w:asciiTheme="majorBidi" w:hAnsiTheme="majorBidi" w:cstheme="majorBidi"/>
          <w:sz w:val="24"/>
          <w:szCs w:val="24"/>
        </w:rPr>
        <w:t>.</w:t>
      </w:r>
      <w:r w:rsidR="00FC1062">
        <w:rPr>
          <w:rFonts w:asciiTheme="majorBidi" w:hAnsiTheme="majorBidi" w:cstheme="majorBidi"/>
          <w:sz w:val="24"/>
          <w:szCs w:val="24"/>
        </w:rPr>
        <w:t xml:space="preserve"> </w:t>
      </w:r>
      <w:r w:rsidRPr="0020352E">
        <w:rPr>
          <w:rFonts w:asciiTheme="majorBidi" w:hAnsiTheme="majorBidi" w:cstheme="majorBidi"/>
          <w:sz w:val="24"/>
          <w:szCs w:val="24"/>
        </w:rPr>
        <w:t xml:space="preserve">Alloreactivity index was calculated as a ratio of donor-specific T cell response to third party T cell response. </w:t>
      </w:r>
      <w:r w:rsidRPr="0020352E">
        <w:rPr>
          <w:rFonts w:asciiTheme="majorBidi" w:hAnsiTheme="majorBidi" w:cstheme="majorBidi"/>
          <w:b/>
          <w:bCs/>
          <w:sz w:val="24"/>
          <w:szCs w:val="24"/>
        </w:rPr>
        <w:t>(A-B)</w:t>
      </w:r>
      <w:r w:rsidRPr="0020352E">
        <w:rPr>
          <w:rFonts w:asciiTheme="majorBidi" w:hAnsiTheme="majorBidi" w:cstheme="majorBidi"/>
          <w:sz w:val="24"/>
          <w:szCs w:val="24"/>
        </w:rPr>
        <w:t xml:space="preserve"> Significance was determined by Friedman’s test and p values represent pairwise comparisons of adjusted p values using Wilcoxon test. The values are shown as the mean± SD. *p &lt; 0.05</w:t>
      </w:r>
    </w:p>
    <w:p w14:paraId="000BE806" w14:textId="350180C9" w:rsidR="00221C7B" w:rsidRDefault="00221C7B">
      <w:pPr>
        <w:rPr>
          <w:noProof/>
        </w:rPr>
      </w:pPr>
    </w:p>
    <w:p w14:paraId="153E967A" w14:textId="77777777" w:rsidR="00C9003C" w:rsidRDefault="00C9003C"/>
    <w:p w14:paraId="452C68E2" w14:textId="77777777" w:rsidR="00080AF0" w:rsidRDefault="00080AF0"/>
    <w:p w14:paraId="5553B897" w14:textId="51302B10" w:rsidR="00080AF0" w:rsidRDefault="00080AF0"/>
    <w:p w14:paraId="03B44A56" w14:textId="0E1989FE" w:rsidR="00080AF0" w:rsidRDefault="009C5029" w:rsidP="3D552D15">
      <w:pPr>
        <w:pStyle w:val="Caption"/>
        <w:spacing w:line="360" w:lineRule="auto"/>
        <w:jc w:val="both"/>
        <w:rPr>
          <w:rFonts w:asciiTheme="majorBidi" w:hAnsiTheme="majorBidi" w:cstheme="majorBidi"/>
          <w:i w:val="0"/>
          <w:color w:val="auto"/>
          <w:sz w:val="24"/>
          <w:szCs w:val="24"/>
        </w:rPr>
      </w:pPr>
      <w:r>
        <w:rPr>
          <w:rFonts w:asciiTheme="majorBidi" w:hAnsiTheme="majorBidi" w:cstheme="majorBidi"/>
          <w:i w:val="0"/>
          <w:noProof/>
          <w:color w:val="auto"/>
          <w:sz w:val="24"/>
          <w:szCs w:val="24"/>
        </w:rPr>
        <w:drawing>
          <wp:inline distT="0" distB="0" distL="0" distR="0" wp14:anchorId="04CF7F03" wp14:editId="5B9D6E39">
            <wp:extent cx="5731510" cy="5941695"/>
            <wp:effectExtent l="0" t="0" r="0" b="1905"/>
            <wp:docPr id="46056610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6107" name="Picture 1"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941695"/>
                    </a:xfrm>
                    <a:prstGeom prst="rect">
                      <a:avLst/>
                    </a:prstGeom>
                  </pic:spPr>
                </pic:pic>
              </a:graphicData>
            </a:graphic>
          </wp:inline>
        </w:drawing>
      </w:r>
    </w:p>
    <w:p w14:paraId="6B001DD2" w14:textId="77777777" w:rsidR="009C5029" w:rsidRDefault="009C5029" w:rsidP="009C5029"/>
    <w:p w14:paraId="7E84FC18" w14:textId="77777777" w:rsidR="009C5029" w:rsidRPr="004B77CD" w:rsidRDefault="009C5029" w:rsidP="009C5029">
      <w:pPr>
        <w:pStyle w:val="Caption"/>
        <w:spacing w:line="360" w:lineRule="auto"/>
        <w:jc w:val="both"/>
        <w:rPr>
          <w:rFonts w:asciiTheme="majorBidi" w:hAnsiTheme="majorBidi" w:cstheme="majorBidi"/>
          <w:i w:val="0"/>
          <w:color w:val="auto"/>
          <w:sz w:val="24"/>
          <w:szCs w:val="24"/>
        </w:rPr>
      </w:pPr>
      <w:r w:rsidRPr="004B77CD">
        <w:rPr>
          <w:rFonts w:asciiTheme="majorBidi" w:hAnsiTheme="majorBidi" w:cstheme="majorBidi"/>
          <w:b/>
          <w:bCs/>
          <w:i w:val="0"/>
          <w:iCs w:val="0"/>
          <w:color w:val="auto"/>
          <w:sz w:val="24"/>
          <w:szCs w:val="24"/>
        </w:rPr>
        <w:t xml:space="preserve">Figure S2. (A) </w:t>
      </w:r>
      <w:r w:rsidRPr="004B77CD">
        <w:rPr>
          <w:rFonts w:asciiTheme="majorBidi" w:hAnsiTheme="majorBidi" w:cstheme="majorBidi"/>
          <w:i w:val="0"/>
          <w:iCs w:val="0"/>
          <w:color w:val="auto"/>
          <w:sz w:val="24"/>
          <w:szCs w:val="24"/>
        </w:rPr>
        <w:t>gating strategy used to characterize CD8 and CD4 T cells and regulatory T cells based on the expression of CD3, CD8, CD4, CD25 and CD127.</w:t>
      </w:r>
      <w:r w:rsidRPr="004B77CD">
        <w:rPr>
          <w:rFonts w:asciiTheme="majorBidi" w:hAnsiTheme="majorBidi" w:cstheme="majorBidi"/>
          <w:b/>
          <w:bCs/>
          <w:i w:val="0"/>
          <w:iCs w:val="0"/>
          <w:color w:val="auto"/>
          <w:sz w:val="24"/>
          <w:szCs w:val="24"/>
        </w:rPr>
        <w:t xml:space="preserve"> (B) </w:t>
      </w:r>
      <w:r w:rsidRPr="004B77CD">
        <w:rPr>
          <w:rFonts w:asciiTheme="majorBidi" w:hAnsiTheme="majorBidi" w:cstheme="majorBidi"/>
          <w:i w:val="0"/>
          <w:iCs w:val="0"/>
          <w:color w:val="auto"/>
          <w:sz w:val="24"/>
          <w:szCs w:val="24"/>
        </w:rPr>
        <w:t xml:space="preserve">gating strategy employed to identify monocytes and the different compartments of DCs and B cells. </w:t>
      </w:r>
    </w:p>
    <w:p w14:paraId="0F0C6EB7" w14:textId="77777777" w:rsidR="009C5029" w:rsidRPr="009C5029" w:rsidRDefault="009C5029" w:rsidP="009C5029"/>
    <w:sectPr w:rsidR="009C5029" w:rsidRPr="009C5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C08A8"/>
    <w:multiLevelType w:val="hybridMultilevel"/>
    <w:tmpl w:val="D20EFF14"/>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 w15:restartNumberingAfterBreak="0">
    <w:nsid w:val="2D2A4F05"/>
    <w:multiLevelType w:val="multilevel"/>
    <w:tmpl w:val="24FAE988"/>
    <w:lvl w:ilvl="0">
      <w:start w:val="1"/>
      <w:numFmt w:val="decimal"/>
      <w:lvlText w:val="%1."/>
      <w:lvlJc w:val="left"/>
      <w:pPr>
        <w:ind w:left="720" w:hanging="360"/>
      </w:pPr>
      <w:rPr>
        <w:rFonts w:asciiTheme="majorBidi" w:hAnsiTheme="majorBidi" w:cstheme="majorBidi" w:hint="default"/>
        <w:color w:val="000000" w:themeColor="text1"/>
      </w:rPr>
    </w:lvl>
    <w:lvl w:ilvl="1">
      <w:start w:val="2"/>
      <w:numFmt w:val="decimal"/>
      <w:isLgl/>
      <w:lvlText w:val="%1.%2"/>
      <w:lvlJc w:val="left"/>
      <w:pPr>
        <w:ind w:left="720" w:hanging="360"/>
      </w:pPr>
      <w:rPr>
        <w:rFonts w:asciiTheme="majorBidi" w:hAnsiTheme="majorBidi" w:cstheme="majorBidi" w:hint="default"/>
        <w:b/>
        <w:bCs/>
        <w:color w:val="000000" w:themeColor="text1"/>
      </w:rPr>
    </w:lvl>
    <w:lvl w:ilvl="2">
      <w:start w:val="1"/>
      <w:numFmt w:val="decimal"/>
      <w:isLgl/>
      <w:lvlText w:val="%1.%2.%3"/>
      <w:lvlJc w:val="left"/>
      <w:pPr>
        <w:ind w:left="1080" w:hanging="720"/>
      </w:pPr>
      <w:rPr>
        <w:rFonts w:ascii="Times New Roman" w:hAnsi="Times New Roman" w:cs="Times New Roman" w:hint="default"/>
        <w:color w:val="000000" w:themeColor="text1"/>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9147174"/>
    <w:multiLevelType w:val="hybridMultilevel"/>
    <w:tmpl w:val="A3FA5402"/>
    <w:lvl w:ilvl="0" w:tplc="34447014">
      <w:start w:val="1"/>
      <w:numFmt w:val="bullet"/>
      <w:lvlText w:val=""/>
      <w:lvlJc w:val="left"/>
      <w:pPr>
        <w:ind w:left="720" w:hanging="360"/>
      </w:pPr>
      <w:rPr>
        <w:rFonts w:ascii="Symbol" w:hAnsi="Symbol" w:hint="default"/>
      </w:rPr>
    </w:lvl>
    <w:lvl w:ilvl="1" w:tplc="1FB611D2">
      <w:start w:val="1"/>
      <w:numFmt w:val="bullet"/>
      <w:lvlText w:val="o"/>
      <w:lvlJc w:val="left"/>
      <w:pPr>
        <w:ind w:left="1440" w:hanging="360"/>
      </w:pPr>
      <w:rPr>
        <w:rFonts w:ascii="Courier New" w:hAnsi="Courier New" w:hint="default"/>
      </w:rPr>
    </w:lvl>
    <w:lvl w:ilvl="2" w:tplc="E6A28A68">
      <w:start w:val="1"/>
      <w:numFmt w:val="bullet"/>
      <w:lvlText w:val=""/>
      <w:lvlJc w:val="left"/>
      <w:pPr>
        <w:ind w:left="2160" w:hanging="360"/>
      </w:pPr>
      <w:rPr>
        <w:rFonts w:ascii="Wingdings" w:hAnsi="Wingdings" w:hint="default"/>
      </w:rPr>
    </w:lvl>
    <w:lvl w:ilvl="3" w:tplc="33F4A5E8">
      <w:start w:val="1"/>
      <w:numFmt w:val="bullet"/>
      <w:lvlText w:val=""/>
      <w:lvlJc w:val="left"/>
      <w:pPr>
        <w:ind w:left="2880" w:hanging="360"/>
      </w:pPr>
      <w:rPr>
        <w:rFonts w:ascii="Symbol" w:hAnsi="Symbol" w:hint="default"/>
      </w:rPr>
    </w:lvl>
    <w:lvl w:ilvl="4" w:tplc="1F5C791A">
      <w:start w:val="1"/>
      <w:numFmt w:val="bullet"/>
      <w:lvlText w:val="o"/>
      <w:lvlJc w:val="left"/>
      <w:pPr>
        <w:ind w:left="3600" w:hanging="360"/>
      </w:pPr>
      <w:rPr>
        <w:rFonts w:ascii="Courier New" w:hAnsi="Courier New" w:hint="default"/>
      </w:rPr>
    </w:lvl>
    <w:lvl w:ilvl="5" w:tplc="3DAC58F0">
      <w:start w:val="1"/>
      <w:numFmt w:val="bullet"/>
      <w:lvlText w:val=""/>
      <w:lvlJc w:val="left"/>
      <w:pPr>
        <w:ind w:left="4320" w:hanging="360"/>
      </w:pPr>
      <w:rPr>
        <w:rFonts w:ascii="Wingdings" w:hAnsi="Wingdings" w:hint="default"/>
      </w:rPr>
    </w:lvl>
    <w:lvl w:ilvl="6" w:tplc="7A56D37A">
      <w:start w:val="1"/>
      <w:numFmt w:val="bullet"/>
      <w:lvlText w:val=""/>
      <w:lvlJc w:val="left"/>
      <w:pPr>
        <w:ind w:left="5040" w:hanging="360"/>
      </w:pPr>
      <w:rPr>
        <w:rFonts w:ascii="Symbol" w:hAnsi="Symbol" w:hint="default"/>
      </w:rPr>
    </w:lvl>
    <w:lvl w:ilvl="7" w:tplc="65804F80">
      <w:start w:val="1"/>
      <w:numFmt w:val="bullet"/>
      <w:lvlText w:val="o"/>
      <w:lvlJc w:val="left"/>
      <w:pPr>
        <w:ind w:left="5760" w:hanging="360"/>
      </w:pPr>
      <w:rPr>
        <w:rFonts w:ascii="Courier New" w:hAnsi="Courier New" w:hint="default"/>
      </w:rPr>
    </w:lvl>
    <w:lvl w:ilvl="8" w:tplc="7368F83E">
      <w:start w:val="1"/>
      <w:numFmt w:val="bullet"/>
      <w:lvlText w:val=""/>
      <w:lvlJc w:val="left"/>
      <w:pPr>
        <w:ind w:left="6480" w:hanging="360"/>
      </w:pPr>
      <w:rPr>
        <w:rFonts w:ascii="Wingdings" w:hAnsi="Wingdings" w:hint="default"/>
      </w:rPr>
    </w:lvl>
  </w:abstractNum>
  <w:num w:numId="1" w16cid:durableId="1713722759">
    <w:abstractNumId w:val="2"/>
  </w:num>
  <w:num w:numId="2" w16cid:durableId="754546245">
    <w:abstractNumId w:val="0"/>
  </w:num>
  <w:num w:numId="3" w16cid:durableId="1323197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C71"/>
    <w:rsid w:val="000568D1"/>
    <w:rsid w:val="00064C71"/>
    <w:rsid w:val="00080AF0"/>
    <w:rsid w:val="00155588"/>
    <w:rsid w:val="001B1EDE"/>
    <w:rsid w:val="001C5084"/>
    <w:rsid w:val="0020352E"/>
    <w:rsid w:val="00211264"/>
    <w:rsid w:val="00211B70"/>
    <w:rsid w:val="00221C7B"/>
    <w:rsid w:val="002D5881"/>
    <w:rsid w:val="00376697"/>
    <w:rsid w:val="00417A56"/>
    <w:rsid w:val="004B77CD"/>
    <w:rsid w:val="004E6463"/>
    <w:rsid w:val="00546FDB"/>
    <w:rsid w:val="0054738E"/>
    <w:rsid w:val="005D4828"/>
    <w:rsid w:val="00640DE8"/>
    <w:rsid w:val="00643CA7"/>
    <w:rsid w:val="006E18B4"/>
    <w:rsid w:val="00766C38"/>
    <w:rsid w:val="007B0D56"/>
    <w:rsid w:val="007D1F76"/>
    <w:rsid w:val="007E2CF7"/>
    <w:rsid w:val="008D2EE4"/>
    <w:rsid w:val="008E7A74"/>
    <w:rsid w:val="0098125A"/>
    <w:rsid w:val="009C5029"/>
    <w:rsid w:val="00B83920"/>
    <w:rsid w:val="00BB5905"/>
    <w:rsid w:val="00C616AD"/>
    <w:rsid w:val="00C85B17"/>
    <w:rsid w:val="00C9003C"/>
    <w:rsid w:val="00CA0CC6"/>
    <w:rsid w:val="00DC7479"/>
    <w:rsid w:val="00DD5C23"/>
    <w:rsid w:val="00E02949"/>
    <w:rsid w:val="00E3667D"/>
    <w:rsid w:val="00E63C8B"/>
    <w:rsid w:val="00E76E6C"/>
    <w:rsid w:val="00EE182F"/>
    <w:rsid w:val="00EF3284"/>
    <w:rsid w:val="00F758C6"/>
    <w:rsid w:val="00F75DC5"/>
    <w:rsid w:val="00FC1062"/>
    <w:rsid w:val="3D552D15"/>
    <w:rsid w:val="5C3EE18C"/>
    <w:rsid w:val="7F44D1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B9DB6E"/>
  <w15:chartTrackingRefBased/>
  <w15:docId w15:val="{D0FCCC94-7C01-49EC-B629-9F9C7B5F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38E"/>
    <w:rPr>
      <w:kern w:val="0"/>
      <w:lang w:val="en-US"/>
    </w:rPr>
  </w:style>
  <w:style w:type="paragraph" w:styleId="Heading2">
    <w:name w:val="heading 2"/>
    <w:basedOn w:val="Normal"/>
    <w:next w:val="Normal"/>
    <w:link w:val="Heading2Char"/>
    <w:uiPriority w:val="9"/>
    <w:unhideWhenUsed/>
    <w:qFormat/>
    <w:rsid w:val="001555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uiPriority w:val="1"/>
    <w:rsid w:val="0054738E"/>
  </w:style>
  <w:style w:type="table" w:styleId="TableGrid">
    <w:name w:val="Table Grid"/>
    <w:basedOn w:val="TableNormal"/>
    <w:uiPriority w:val="39"/>
    <w:rsid w:val="00640DE8"/>
    <w:pPr>
      <w:spacing w:after="0" w:line="240" w:lineRule="auto"/>
    </w:pPr>
    <w:rPr>
      <w:kern w:val="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417A56"/>
    <w:pPr>
      <w:spacing w:after="200" w:line="240" w:lineRule="auto"/>
    </w:pPr>
    <w:rPr>
      <w:i/>
      <w:iCs/>
      <w:color w:val="44546A" w:themeColor="text2"/>
      <w:sz w:val="18"/>
      <w:szCs w:val="18"/>
    </w:rPr>
  </w:style>
  <w:style w:type="paragraph" w:styleId="ListParagraph">
    <w:name w:val="List Paragraph"/>
    <w:basedOn w:val="Normal"/>
    <w:uiPriority w:val="34"/>
    <w:qFormat/>
    <w:rsid w:val="00211B70"/>
    <w:pPr>
      <w:ind w:left="720"/>
      <w:contextualSpacing/>
    </w:pPr>
  </w:style>
  <w:style w:type="character" w:customStyle="1" w:styleId="Heading2Char">
    <w:name w:val="Heading 2 Char"/>
    <w:basedOn w:val="DefaultParagraphFont"/>
    <w:link w:val="Heading2"/>
    <w:uiPriority w:val="9"/>
    <w:rsid w:val="00155588"/>
    <w:rPr>
      <w:rFonts w:asciiTheme="majorHAnsi" w:eastAsiaTheme="majorEastAsia" w:hAnsiTheme="majorHAnsi" w:cstheme="majorBidi"/>
      <w:color w:val="2F5496" w:themeColor="accent1" w:themeShade="BF"/>
      <w:kern w:val="0"/>
      <w:sz w:val="26"/>
      <w:szCs w:val="26"/>
      <w:lang w:val="en-US"/>
    </w:rPr>
  </w:style>
  <w:style w:type="paragraph" w:styleId="NormalWeb">
    <w:name w:val="Normal (Web)"/>
    <w:basedOn w:val="Normal"/>
    <w:link w:val="NormalWebChar"/>
    <w:uiPriority w:val="99"/>
    <w:unhideWhenUsed/>
    <w:rsid w:val="0015558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WebChar">
    <w:name w:val="Normal (Web) Char"/>
    <w:basedOn w:val="DefaultParagraphFont"/>
    <w:link w:val="NormalWeb"/>
    <w:uiPriority w:val="99"/>
    <w:rsid w:val="00155588"/>
    <w:rPr>
      <w:rFonts w:ascii="Times New Roman" w:eastAsia="Times New Roman" w:hAnsi="Times New Roman" w:cs="Times New Roman"/>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b3e613-30c5-4555-8dfa-a78eca74df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36EDDC37B04441BC12E4D154886576" ma:contentTypeVersion="16" ma:contentTypeDescription="Create a new document." ma:contentTypeScope="" ma:versionID="a65390b7089c65e1dc24566680f8118f">
  <xsd:schema xmlns:xsd="http://www.w3.org/2001/XMLSchema" xmlns:xs="http://www.w3.org/2001/XMLSchema" xmlns:p="http://schemas.microsoft.com/office/2006/metadata/properties" xmlns:ns3="aeb3e613-30c5-4555-8dfa-a78eca74df4d" xmlns:ns4="5b961949-1067-411e-b6cd-be9c8479a477" targetNamespace="http://schemas.microsoft.com/office/2006/metadata/properties" ma:root="true" ma:fieldsID="2abe6253e5081ff82f152624d14a5bee" ns3:_="" ns4:_="">
    <xsd:import namespace="aeb3e613-30c5-4555-8dfa-a78eca74df4d"/>
    <xsd:import namespace="5b961949-1067-411e-b6cd-be9c8479a47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3e613-30c5-4555-8dfa-a78eca74d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961949-1067-411e-b6cd-be9c8479a47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BA7102-8E26-420B-B95E-E2B3D61C971D}">
  <ds:schemaRefs>
    <ds:schemaRef ds:uri="http://schemas.microsoft.com/office/2006/metadata/properties"/>
    <ds:schemaRef ds:uri="http://schemas.microsoft.com/office/infopath/2007/PartnerControls"/>
    <ds:schemaRef ds:uri="aeb3e613-30c5-4555-8dfa-a78eca74df4d"/>
  </ds:schemaRefs>
</ds:datastoreItem>
</file>

<file path=customXml/itemProps2.xml><?xml version="1.0" encoding="utf-8"?>
<ds:datastoreItem xmlns:ds="http://schemas.openxmlformats.org/officeDocument/2006/customXml" ds:itemID="{9C162FEF-547B-497B-AE66-23BCEAF23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3e613-30c5-4555-8dfa-a78eca74df4d"/>
    <ds:schemaRef ds:uri="5b961949-1067-411e-b6cd-be9c8479a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DB1F76-8F4B-4BAD-8E31-14531D5F61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1032</Words>
  <Characters>5620</Characters>
  <Application>Microsoft Office Word</Application>
  <DocSecurity>0</DocSecurity>
  <Lines>374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Elgosbi</dc:creator>
  <cp:keywords/>
  <dc:description/>
  <cp:lastModifiedBy>Ada Sera Kurt</cp:lastModifiedBy>
  <cp:revision>3</cp:revision>
  <dcterms:created xsi:type="dcterms:W3CDTF">2024-08-05T09:40:00Z</dcterms:created>
  <dcterms:modified xsi:type="dcterms:W3CDTF">2024-08-05T09:40:00Z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0x0101007236EDDC37B04441BC12E4D154886576</vt:lpwstr>
  </property>
  <property fmtid="{D5CDD505-2E9C-101B-9397-08002B2CF9AE}" pid="3" name="GrammarlyDocumentId">
    <vt:lpwstr>195c2e0492b4addd8c5f0128ac85acc86c9eca58e9272acd80f180a93f765a00</vt:lpwstr>
  </property>
</Properties>
</file>