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4C0E94" w14:textId="27A64A6F" w:rsidR="00C80D98" w:rsidRDefault="00C80D98" w:rsidP="00335BA5">
      <w:pPr>
        <w:pStyle w:val="paragraph"/>
        <w:spacing w:line="480" w:lineRule="auto"/>
        <w:textAlignment w:val="baseline"/>
        <w:rPr>
          <w:b/>
        </w:rPr>
      </w:pPr>
      <w:r>
        <w:rPr>
          <w:b/>
        </w:rPr>
        <w:t>HEP-18-1167</w:t>
      </w:r>
    </w:p>
    <w:p w14:paraId="6156FE65" w14:textId="10429FA5" w:rsidR="00754AF1" w:rsidRPr="00335BA5" w:rsidRDefault="00754AF1" w:rsidP="00335BA5">
      <w:pPr>
        <w:pStyle w:val="paragraph"/>
        <w:spacing w:line="480" w:lineRule="auto"/>
        <w:textAlignment w:val="baseline"/>
        <w:rPr>
          <w:b/>
        </w:rPr>
      </w:pPr>
      <w:r w:rsidRPr="00754AF1">
        <w:rPr>
          <w:b/>
        </w:rPr>
        <w:t>S1. Scoring method for liver tissue sections after H&amp;E and immunohistochemistry.</w:t>
      </w:r>
      <w:r w:rsidR="00335BA5">
        <w:rPr>
          <w:b/>
        </w:rPr>
        <w:t xml:space="preserve"> </w:t>
      </w:r>
      <w:r w:rsidRPr="00754AF1">
        <w:t xml:space="preserve">All slides were imaged using a Leica DMR microscope (Leica Biosystems, Newcastle, UK) equipped with a Leica DFC300 FX camera (Leica Biosystems, Newcastle, UK). Five high power fields were randomly selected for each case from the </w:t>
      </w:r>
      <w:r w:rsidR="00D16965">
        <w:t>lobular region and the number of MPO positive cells was counted in each field.</w:t>
      </w:r>
      <w:r w:rsidR="007238E4">
        <w:t xml:space="preserve"> </w:t>
      </w:r>
      <w:r w:rsidRPr="00754AF1">
        <w:t xml:space="preserve">H&amp;E stained slides were scored using </w:t>
      </w:r>
      <w:r>
        <w:t>a routine</w:t>
      </w:r>
      <w:r w:rsidRPr="00754AF1">
        <w:t xml:space="preserve"> system with several changes, for neutrophil clustering (0 = none; 1 = occasional, found after very scrupulous search at high magnification (400×); 2 = scattered, easily seen at 100× magnification; 3 = scattered in most lobules; 4 many neutrophil clusters in close proximity on the verge of confluence; 5 = dense confluent sheets), apoptosis or necrosis (0 = absent; 1 = 1-2 apoptotic bodies per 200× magnification field (highest number per field recorded); 3 = focal hepatocyte necrosis, 1-2 foci per 200× magnification field (highest number per field recorded); 4 = 3 or more foci per 200× magnification field (highest number per field recorded); 5 = focal confluent hepatocellular necrosis; 6 = multiple foci of confluent necrosis; 7 = areas of necrotic parenchyma more extensive than the viable parenchyma in the sample examined; 8 = a limited amount of viable parenchyma is identified), mitosis (number of mitoses in 10 HPF at 400× magnification), </w:t>
      </w:r>
      <w:proofErr w:type="spellStart"/>
      <w:r w:rsidRPr="00754AF1">
        <w:t>canalicular</w:t>
      </w:r>
      <w:proofErr w:type="spellEnd"/>
      <w:r w:rsidRPr="00754AF1">
        <w:t xml:space="preserve"> cholestasis (0 = none;</w:t>
      </w:r>
      <w:r>
        <w:t xml:space="preserve"> 1 = mild; 2 = moderate; 3 = se</w:t>
      </w:r>
      <w:r w:rsidRPr="00754AF1">
        <w:t xml:space="preserve">vere), </w:t>
      </w:r>
      <w:proofErr w:type="spellStart"/>
      <w:r w:rsidRPr="00754AF1">
        <w:t>ductular</w:t>
      </w:r>
      <w:proofErr w:type="spellEnd"/>
      <w:r w:rsidRPr="00754AF1">
        <w:t xml:space="preserve"> cholestasis (0 = none; 1 = mild; 2 = moderate; 3 = severe), and signs of cholangitis (0 = absent; 1 = present). Steatosis was assessed as large droplet steatosis (a single large </w:t>
      </w:r>
      <w:proofErr w:type="spellStart"/>
      <w:r w:rsidRPr="00754AF1">
        <w:t>steatotic</w:t>
      </w:r>
      <w:proofErr w:type="spellEnd"/>
      <w:r w:rsidRPr="00754AF1">
        <w:t xml:space="preserve"> vacuole pushing the hepatocyte nucleus to the periphery), and small droplet steatosis (one or more small cytoplasmic vacuoles mostly associated with a centrally placed nucleus) as two separate yet identical scores (0 = none; 1 = &lt; 26%; 2 = 26-50%; 3 = 51-75%; 4 = &gt; 75%). Large droplet steatosis was scored first. The small droplet steatosis was assessed afterwards, this second score representing the </w:t>
      </w:r>
      <w:r w:rsidRPr="00754AF1">
        <w:lastRenderedPageBreak/>
        <w:t xml:space="preserve">percentage of hepatocytes without large droplet steatosis. </w:t>
      </w:r>
      <w:proofErr w:type="gramStart"/>
      <w:r w:rsidRPr="00754AF1">
        <w:t xml:space="preserve">Stains were assessed by a </w:t>
      </w:r>
      <w:r w:rsidR="00EB74AE">
        <w:t>L</w:t>
      </w:r>
      <w:r w:rsidRPr="00754AF1">
        <w:t xml:space="preserve">iver </w:t>
      </w:r>
      <w:r w:rsidR="00EB74AE">
        <w:t>H</w:t>
      </w:r>
      <w:r w:rsidRPr="00754AF1">
        <w:t>istopatho</w:t>
      </w:r>
      <w:r w:rsidR="00092B0C">
        <w:t>logy Fellow</w:t>
      </w:r>
      <w:r w:rsidRPr="00754AF1">
        <w:t xml:space="preserve"> (</w:t>
      </w:r>
      <w:r w:rsidR="00092B0C">
        <w:t>O</w:t>
      </w:r>
      <w:r w:rsidRPr="00754AF1">
        <w:t>.</w:t>
      </w:r>
      <w:r w:rsidR="00092B0C">
        <w:t>P</w:t>
      </w:r>
      <w:r w:rsidRPr="00754AF1">
        <w:t>.)</w:t>
      </w:r>
      <w:r w:rsidR="00C80D98">
        <w:t xml:space="preserve"> </w:t>
      </w:r>
      <w:r w:rsidR="00C80D98" w:rsidRPr="00C80D98">
        <w:rPr>
          <w:u w:val="single"/>
        </w:rPr>
        <w:t xml:space="preserve">and a </w:t>
      </w:r>
      <w:proofErr w:type="spellStart"/>
      <w:r w:rsidR="00C80D98" w:rsidRPr="00C80D98">
        <w:rPr>
          <w:u w:val="single"/>
        </w:rPr>
        <w:t>Histopathologist</w:t>
      </w:r>
      <w:proofErr w:type="spellEnd"/>
      <w:r w:rsidR="00C80D98" w:rsidRPr="00C80D98">
        <w:rPr>
          <w:u w:val="single"/>
        </w:rPr>
        <w:t xml:space="preserve"> (A.Q.)</w:t>
      </w:r>
      <w:r w:rsidR="00C80D98">
        <w:t xml:space="preserve"> who were</w:t>
      </w:r>
      <w:r w:rsidRPr="00754AF1">
        <w:t xml:space="preserve"> blinded to the clinical data</w:t>
      </w:r>
      <w:proofErr w:type="gramEnd"/>
      <w:r w:rsidRPr="00754AF1">
        <w:t>. All counts were performed using the ImageJ software (Bethesda,</w:t>
      </w:r>
      <w:r>
        <w:t xml:space="preserve"> Maryland, USA)</w:t>
      </w:r>
      <w:r w:rsidRPr="00754AF1">
        <w:t>.</w:t>
      </w:r>
    </w:p>
    <w:p w14:paraId="616A5796" w14:textId="77777777" w:rsidR="006E5F4E" w:rsidRPr="00754AF1" w:rsidRDefault="006E5F4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47AEFFBE" w14:textId="77777777" w:rsidR="006E5F4E" w:rsidRPr="00754AF1" w:rsidRDefault="006E5F4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1F95E53B" w14:textId="77777777" w:rsidR="006E5F4E" w:rsidRPr="00754AF1" w:rsidRDefault="006E5F4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  <w:sectPr w:rsidR="006E5F4E" w:rsidRPr="00754AF1" w:rsidSect="00492C2E">
          <w:pgSz w:w="12240" w:h="15840"/>
          <w:pgMar w:top="1440" w:right="1440" w:bottom="1440" w:left="1440" w:header="720" w:footer="720" w:gutter="0"/>
          <w:cols w:space="720"/>
          <w:noEndnote/>
        </w:sectPr>
      </w:pPr>
      <w:bookmarkStart w:id="0" w:name="_GoBack"/>
      <w:bookmarkEnd w:id="0"/>
    </w:p>
    <w:p w14:paraId="5487CDAB" w14:textId="77777777" w:rsidR="00C32FF1" w:rsidRPr="00754AF1" w:rsidRDefault="00C32FF1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color w:val="000000"/>
          <w:lang w:val="en-US"/>
        </w:rPr>
      </w:pPr>
      <w:r w:rsidRPr="00754AF1">
        <w:rPr>
          <w:rFonts w:ascii="Times New Roman" w:hAnsi="Times New Roman" w:cs="Times New Roman"/>
          <w:b/>
          <w:color w:val="000000"/>
          <w:lang w:val="en-US"/>
        </w:rPr>
        <w:lastRenderedPageBreak/>
        <w:t>S</w:t>
      </w:r>
      <w:r w:rsidR="00335BA5">
        <w:rPr>
          <w:rFonts w:ascii="Times New Roman" w:hAnsi="Times New Roman" w:cs="Times New Roman"/>
          <w:b/>
          <w:color w:val="000000"/>
          <w:lang w:val="en-US"/>
        </w:rPr>
        <w:t>2</w:t>
      </w:r>
      <w:r w:rsidRPr="00754AF1">
        <w:rPr>
          <w:rFonts w:ascii="Times New Roman" w:hAnsi="Times New Roman" w:cs="Times New Roman"/>
          <w:color w:val="000000"/>
          <w:lang w:val="en-US"/>
        </w:rPr>
        <w:t>: Full list of canonical GSEA pathways, a total of 123 pathways, that were considered significantly down-regulated in NMP compared to CS in the pre-reperfusion stage, based on the cut-off value of &lt;25% false discovery rate (FDR).</w:t>
      </w:r>
      <w:r w:rsidR="007C60C3">
        <w:rPr>
          <w:rFonts w:ascii="Times New Roman" w:hAnsi="Times New Roman" w:cs="Times New Roman"/>
          <w:color w:val="000000"/>
          <w:lang w:val="en-US"/>
        </w:rPr>
        <w:t xml:space="preserve"> NES: </w:t>
      </w:r>
      <w:proofErr w:type="spellStart"/>
      <w:r w:rsidR="007C60C3">
        <w:rPr>
          <w:rFonts w:ascii="Times New Roman" w:hAnsi="Times New Roman" w:cs="Times New Roman"/>
          <w:color w:val="000000"/>
          <w:lang w:val="en-US"/>
        </w:rPr>
        <w:t>Normalised</w:t>
      </w:r>
      <w:proofErr w:type="spellEnd"/>
      <w:r w:rsidR="007C60C3">
        <w:rPr>
          <w:rFonts w:ascii="Times New Roman" w:hAnsi="Times New Roman" w:cs="Times New Roman"/>
          <w:color w:val="000000"/>
          <w:lang w:val="en-US"/>
        </w:rPr>
        <w:t xml:space="preserve"> enrichment score. </w:t>
      </w:r>
    </w:p>
    <w:p w14:paraId="78E9ECAA" w14:textId="77777777" w:rsidR="00C32FF1" w:rsidRPr="00754AF1" w:rsidRDefault="00C32FF1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color w:val="000000"/>
          <w:lang w:val="en-US"/>
        </w:rPr>
      </w:pPr>
    </w:p>
    <w:p w14:paraId="412923E7" w14:textId="77777777" w:rsidR="0027570C" w:rsidRPr="00754AF1" w:rsidRDefault="00C32FF1">
      <w:pPr>
        <w:rPr>
          <w:rFonts w:ascii="Times New Roman" w:hAnsi="Times New Roman" w:cs="Times New Roman"/>
        </w:rPr>
      </w:pPr>
      <w:r w:rsidRPr="00754AF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BDD1DB" wp14:editId="3228A79C">
            <wp:extent cx="4176584" cy="6955968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9" r="49722"/>
                    <a:stretch/>
                  </pic:blipFill>
                  <pic:spPr bwMode="auto">
                    <a:xfrm>
                      <a:off x="0" y="0"/>
                      <a:ext cx="4226021" cy="7038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32F5B" w14:textId="77777777" w:rsidR="00C32FF1" w:rsidRPr="00754AF1" w:rsidRDefault="00C32FF1">
      <w:pPr>
        <w:rPr>
          <w:rFonts w:ascii="Times New Roman" w:hAnsi="Times New Roman" w:cs="Times New Roman"/>
        </w:rPr>
      </w:pPr>
      <w:r w:rsidRPr="00754AF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CB2D879" wp14:editId="54277AC3">
            <wp:extent cx="4114727" cy="4638675"/>
            <wp:effectExtent l="0" t="0" r="63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1126371-93E6-0D4D-8DCE-631FA8D164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1126371-93E6-0D4D-8DCE-631FA8D164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52" b="33957"/>
                    <a:stretch/>
                  </pic:blipFill>
                  <pic:spPr bwMode="auto">
                    <a:xfrm>
                      <a:off x="0" y="0"/>
                      <a:ext cx="4118146" cy="464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C991E" w14:textId="77777777" w:rsidR="00C32FF1" w:rsidRPr="00754AF1" w:rsidRDefault="00C32FF1">
      <w:pPr>
        <w:rPr>
          <w:rFonts w:ascii="Times New Roman" w:hAnsi="Times New Roman" w:cs="Times New Roman"/>
        </w:rPr>
      </w:pPr>
    </w:p>
    <w:p w14:paraId="119ACC53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7A9D3702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7C544407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47C2CDEF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17631A60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4FF79277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67BAC4E8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0320E4C8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1FF580BC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285868FE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62C0A7B2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13EE4630" w14:textId="77777777" w:rsidR="002664FE" w:rsidRPr="00754AF1" w:rsidRDefault="002664FE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b/>
          <w:color w:val="000000"/>
          <w:lang w:val="en-US"/>
        </w:rPr>
      </w:pPr>
    </w:p>
    <w:p w14:paraId="37074FD8" w14:textId="77777777" w:rsidR="00C32FF1" w:rsidRDefault="00C32FF1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color w:val="000000"/>
          <w:lang w:val="en-US"/>
        </w:rPr>
      </w:pPr>
      <w:r w:rsidRPr="00754AF1">
        <w:rPr>
          <w:rFonts w:ascii="Times New Roman" w:hAnsi="Times New Roman" w:cs="Times New Roman"/>
          <w:b/>
          <w:color w:val="000000"/>
          <w:lang w:val="en-US"/>
        </w:rPr>
        <w:lastRenderedPageBreak/>
        <w:t>S</w:t>
      </w:r>
      <w:r w:rsidR="00335BA5">
        <w:rPr>
          <w:rFonts w:ascii="Times New Roman" w:hAnsi="Times New Roman" w:cs="Times New Roman"/>
          <w:b/>
          <w:color w:val="000000"/>
          <w:lang w:val="en-US"/>
        </w:rPr>
        <w:t>3</w:t>
      </w:r>
      <w:r w:rsidRPr="00754AF1">
        <w:rPr>
          <w:rFonts w:ascii="Times New Roman" w:hAnsi="Times New Roman" w:cs="Times New Roman"/>
          <w:color w:val="000000"/>
          <w:lang w:val="en-US"/>
        </w:rPr>
        <w:t>: Full list of canonical GSEA pathways, a total of 74 pathways, that were considered significantly down-regulated in NMP compared to CS in the post-reperfusion stage, based on the cut-off value of &lt;25% false discovery rate (FDR).</w:t>
      </w:r>
      <w:r w:rsidR="007C60C3">
        <w:rPr>
          <w:rFonts w:ascii="Times New Roman" w:hAnsi="Times New Roman" w:cs="Times New Roman"/>
          <w:color w:val="000000"/>
          <w:lang w:val="en-US"/>
        </w:rPr>
        <w:t xml:space="preserve"> NES: </w:t>
      </w:r>
      <w:proofErr w:type="spellStart"/>
      <w:r w:rsidR="007C60C3">
        <w:rPr>
          <w:rFonts w:ascii="Times New Roman" w:hAnsi="Times New Roman" w:cs="Times New Roman"/>
          <w:color w:val="000000"/>
          <w:lang w:val="en-US"/>
        </w:rPr>
        <w:t>Normalised</w:t>
      </w:r>
      <w:proofErr w:type="spellEnd"/>
      <w:r w:rsidR="007C60C3">
        <w:rPr>
          <w:rFonts w:ascii="Times New Roman" w:hAnsi="Times New Roman" w:cs="Times New Roman"/>
          <w:color w:val="000000"/>
          <w:lang w:val="en-US"/>
        </w:rPr>
        <w:t xml:space="preserve"> enrichment score</w:t>
      </w:r>
    </w:p>
    <w:p w14:paraId="2E8ED1FC" w14:textId="77777777" w:rsidR="00754AF1" w:rsidRPr="00754AF1" w:rsidRDefault="00754AF1" w:rsidP="00C32FF1">
      <w:pPr>
        <w:autoSpaceDE w:val="0"/>
        <w:autoSpaceDN w:val="0"/>
        <w:adjustRightInd w:val="0"/>
        <w:spacing w:line="380" w:lineRule="atLeast"/>
        <w:rPr>
          <w:rFonts w:ascii="Times New Roman" w:hAnsi="Times New Roman" w:cs="Times New Roman"/>
          <w:color w:val="000000"/>
          <w:lang w:val="en-US"/>
        </w:rPr>
      </w:pPr>
    </w:p>
    <w:p w14:paraId="381A7316" w14:textId="77777777" w:rsidR="00C32FF1" w:rsidRPr="00754AF1" w:rsidRDefault="002664FE">
      <w:pPr>
        <w:rPr>
          <w:rFonts w:ascii="Times New Roman" w:hAnsi="Times New Roman" w:cs="Times New Roman"/>
        </w:rPr>
      </w:pPr>
      <w:r w:rsidRPr="00754AF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9D7EC2" wp14:editId="7A148BE0">
            <wp:extent cx="4093673" cy="724829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110" cy="726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FF1" w:rsidRPr="00754AF1" w:rsidSect="00492C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FF1"/>
    <w:rsid w:val="0003228A"/>
    <w:rsid w:val="00092B0C"/>
    <w:rsid w:val="001702DD"/>
    <w:rsid w:val="002664FE"/>
    <w:rsid w:val="002F3F92"/>
    <w:rsid w:val="00335BA5"/>
    <w:rsid w:val="005D3221"/>
    <w:rsid w:val="006E5F4E"/>
    <w:rsid w:val="007238E4"/>
    <w:rsid w:val="00754AF1"/>
    <w:rsid w:val="007C60C3"/>
    <w:rsid w:val="00C32FF1"/>
    <w:rsid w:val="00C80D98"/>
    <w:rsid w:val="00D16965"/>
    <w:rsid w:val="00DF33D7"/>
    <w:rsid w:val="00EB74AE"/>
    <w:rsid w:val="00F13F7A"/>
    <w:rsid w:val="00F2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0F29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rsid w:val="00754AF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paragraphChar">
    <w:name w:val="paragraph Char"/>
    <w:basedOn w:val="DefaultParagraphFont"/>
    <w:link w:val="paragraph"/>
    <w:rsid w:val="00754AF1"/>
    <w:rPr>
      <w:rFonts w:ascii="Times New Roman" w:eastAsia="Times New Roman" w:hAnsi="Times New Roman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F9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F9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rsid w:val="00754AF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paragraphChar">
    <w:name w:val="paragraph Char"/>
    <w:basedOn w:val="DefaultParagraphFont"/>
    <w:link w:val="paragraph"/>
    <w:rsid w:val="00754AF1"/>
    <w:rPr>
      <w:rFonts w:ascii="Times New Roman" w:eastAsia="Times New Roman" w:hAnsi="Times New Roman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F9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F9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2463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 College Hospital</Company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Ghnewa, Yasmeen</dc:creator>
  <cp:lastModifiedBy>yun ma</cp:lastModifiedBy>
  <cp:revision>2</cp:revision>
  <dcterms:created xsi:type="dcterms:W3CDTF">2018-08-29T14:35:00Z</dcterms:created>
  <dcterms:modified xsi:type="dcterms:W3CDTF">2018-08-29T14:35:00Z</dcterms:modified>
</cp:coreProperties>
</file>