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D8BFE" w14:textId="5C9D1984" w:rsidR="00875FCE" w:rsidRDefault="7947FF28" w:rsidP="45F5C608">
      <w:r w:rsidRPr="45F5C608">
        <w:rPr>
          <w:rFonts w:ascii="Open Sans" w:eastAsia="Open Sans" w:hAnsi="Open Sans" w:cs="Open Sans"/>
          <w:b/>
          <w:bCs/>
          <w:color w:val="000000" w:themeColor="text1"/>
          <w:sz w:val="19"/>
          <w:szCs w:val="19"/>
          <w:lang w:val="en-US"/>
        </w:rPr>
        <w:t>Large Language Models (LLMs) and their application in Cybersecurity</w:t>
      </w:r>
      <w:r w:rsidR="00C92421">
        <w:br/>
      </w:r>
      <w:r w:rsidR="00C92421" w:rsidRPr="45F5C608">
        <w:rPr>
          <w:rStyle w:val="30"/>
          <w:b/>
          <w:bCs/>
          <w:i/>
          <w:iCs/>
        </w:rPr>
        <w:t xml:space="preserve">Project </w:t>
      </w:r>
      <w:r w:rsidR="0051130C" w:rsidRPr="45F5C608">
        <w:rPr>
          <w:rStyle w:val="30"/>
          <w:b/>
          <w:bCs/>
          <w:i/>
          <w:iCs/>
        </w:rPr>
        <w:t>Team</w:t>
      </w:r>
    </w:p>
    <w:tbl>
      <w:tblPr>
        <w:tblStyle w:val="a7"/>
        <w:tblW w:w="0" w:type="auto"/>
        <w:jc w:val="center"/>
        <w:tblLook w:val="04A0" w:firstRow="1" w:lastRow="0" w:firstColumn="1" w:lastColumn="0" w:noHBand="0" w:noVBand="1"/>
      </w:tblPr>
      <w:tblGrid>
        <w:gridCol w:w="4162"/>
        <w:gridCol w:w="4854"/>
      </w:tblGrid>
      <w:tr w:rsidR="00F41A23" w14:paraId="47690F0F" w14:textId="341411EE" w:rsidTr="45F5C608">
        <w:trPr>
          <w:trHeight w:val="267"/>
          <w:jc w:val="center"/>
        </w:trPr>
        <w:tc>
          <w:tcPr>
            <w:tcW w:w="4253" w:type="dxa"/>
            <w:shd w:val="clear" w:color="auto" w:fill="262626" w:themeFill="text1" w:themeFillTint="D9"/>
          </w:tcPr>
          <w:p w14:paraId="15B3D5D3" w14:textId="000059FB" w:rsidR="00F41A23" w:rsidRDefault="00F41A23" w:rsidP="003F3E1D">
            <w:pPr>
              <w:jc w:val="center"/>
            </w:pPr>
            <w:r>
              <w:t>Full Name</w:t>
            </w:r>
          </w:p>
        </w:tc>
        <w:tc>
          <w:tcPr>
            <w:tcW w:w="4961" w:type="dxa"/>
            <w:shd w:val="clear" w:color="auto" w:fill="262626" w:themeFill="text1" w:themeFillTint="D9"/>
          </w:tcPr>
          <w:p w14:paraId="2F1EB095" w14:textId="25132CD6" w:rsidR="00F41A23" w:rsidRDefault="00F41A23" w:rsidP="003F3E1D">
            <w:pPr>
              <w:jc w:val="center"/>
            </w:pPr>
            <w:r>
              <w:t>Student ID</w:t>
            </w:r>
          </w:p>
        </w:tc>
      </w:tr>
      <w:tr w:rsidR="00F41A23" w14:paraId="1DBA3919" w14:textId="12344D6F" w:rsidTr="45F5C608">
        <w:trPr>
          <w:trHeight w:val="253"/>
          <w:jc w:val="center"/>
        </w:trPr>
        <w:tc>
          <w:tcPr>
            <w:tcW w:w="4253" w:type="dxa"/>
          </w:tcPr>
          <w:p w14:paraId="24737E81" w14:textId="0A62FBCD" w:rsidR="00F41A23" w:rsidRDefault="385AE49B" w:rsidP="00D249AD">
            <w:pPr>
              <w:jc w:val="center"/>
            </w:pPr>
            <w:r>
              <w:t>Shuhan Yan</w:t>
            </w:r>
          </w:p>
        </w:tc>
        <w:tc>
          <w:tcPr>
            <w:tcW w:w="4961" w:type="dxa"/>
          </w:tcPr>
          <w:p w14:paraId="7DC8DC59" w14:textId="096B4768" w:rsidR="00F41A23" w:rsidRDefault="385AE49B" w:rsidP="00D249AD">
            <w:pPr>
              <w:jc w:val="center"/>
            </w:pPr>
            <w:r>
              <w:t>s4913324</w:t>
            </w:r>
          </w:p>
        </w:tc>
      </w:tr>
      <w:tr w:rsidR="00F41A23" w14:paraId="006D809F" w14:textId="2A244E1B" w:rsidTr="45F5C608">
        <w:trPr>
          <w:trHeight w:val="267"/>
          <w:jc w:val="center"/>
        </w:trPr>
        <w:tc>
          <w:tcPr>
            <w:tcW w:w="4253" w:type="dxa"/>
          </w:tcPr>
          <w:p w14:paraId="0C2D23D1" w14:textId="61D27A83" w:rsidR="00F41A23" w:rsidRDefault="03075B34" w:rsidP="00D249AD">
            <w:pPr>
              <w:jc w:val="center"/>
            </w:pPr>
            <w:r>
              <w:t>Xiaozhe Liu</w:t>
            </w:r>
          </w:p>
        </w:tc>
        <w:tc>
          <w:tcPr>
            <w:tcW w:w="4961" w:type="dxa"/>
          </w:tcPr>
          <w:p w14:paraId="3AC3B117" w14:textId="0E52B279" w:rsidR="00F41A23" w:rsidRDefault="03075B34" w:rsidP="00D249AD">
            <w:pPr>
              <w:jc w:val="center"/>
            </w:pPr>
            <w:r>
              <w:t>s4901089</w:t>
            </w:r>
          </w:p>
        </w:tc>
      </w:tr>
      <w:tr w:rsidR="00F41A23" w14:paraId="5A6F9291" w14:textId="04FFC7C7" w:rsidTr="45F5C608">
        <w:trPr>
          <w:trHeight w:val="253"/>
          <w:jc w:val="center"/>
        </w:trPr>
        <w:tc>
          <w:tcPr>
            <w:tcW w:w="4253" w:type="dxa"/>
          </w:tcPr>
          <w:p w14:paraId="03EC0F42" w14:textId="787FD6FE" w:rsidR="00F41A23" w:rsidRDefault="54CB3309" w:rsidP="00D249AD">
            <w:pPr>
              <w:jc w:val="center"/>
            </w:pPr>
            <w:r>
              <w:t>Boya Feng</w:t>
            </w:r>
          </w:p>
        </w:tc>
        <w:tc>
          <w:tcPr>
            <w:tcW w:w="4961" w:type="dxa"/>
          </w:tcPr>
          <w:p w14:paraId="12121300" w14:textId="7FBB4839" w:rsidR="00F41A23" w:rsidRDefault="54CB3309" w:rsidP="00D249AD">
            <w:pPr>
              <w:jc w:val="center"/>
            </w:pPr>
            <w:r>
              <w:t>s4951799</w:t>
            </w:r>
          </w:p>
        </w:tc>
      </w:tr>
      <w:tr w:rsidR="00F41A23" w14:paraId="0AEBC628" w14:textId="06551904" w:rsidTr="45F5C608">
        <w:trPr>
          <w:trHeight w:val="267"/>
          <w:jc w:val="center"/>
        </w:trPr>
        <w:tc>
          <w:tcPr>
            <w:tcW w:w="4253" w:type="dxa"/>
          </w:tcPr>
          <w:p w14:paraId="6CEFAF33" w14:textId="74F52A92" w:rsidR="00F41A23" w:rsidRDefault="1BD88B9D" w:rsidP="45F5C608">
            <w:pPr>
              <w:jc w:val="center"/>
            </w:pPr>
            <w:proofErr w:type="spellStart"/>
            <w:r>
              <w:t>Yuexuan</w:t>
            </w:r>
            <w:proofErr w:type="spellEnd"/>
            <w:r>
              <w:t xml:space="preserve"> Yang</w:t>
            </w:r>
          </w:p>
        </w:tc>
        <w:tc>
          <w:tcPr>
            <w:tcW w:w="4961" w:type="dxa"/>
          </w:tcPr>
          <w:p w14:paraId="422119E9" w14:textId="6A49CE09" w:rsidR="00F41A23" w:rsidRDefault="1BD88B9D" w:rsidP="00D249AD">
            <w:pPr>
              <w:jc w:val="center"/>
            </w:pPr>
            <w:r>
              <w:t>s4844302</w:t>
            </w:r>
          </w:p>
        </w:tc>
      </w:tr>
    </w:tbl>
    <w:p w14:paraId="73FE56F2" w14:textId="16654E76" w:rsidR="007330AA" w:rsidRDefault="007330AA" w:rsidP="007330AA"/>
    <w:p w14:paraId="3BA83BAC" w14:textId="223CC68C" w:rsidR="0051130C" w:rsidRDefault="0051130C" w:rsidP="0051130C">
      <w:pPr>
        <w:pStyle w:val="3"/>
        <w:rPr>
          <w:b/>
          <w:bCs/>
          <w:i/>
          <w:iCs/>
        </w:rPr>
      </w:pPr>
      <w:r w:rsidRPr="45F5C608">
        <w:rPr>
          <w:b/>
          <w:bCs/>
          <w:i/>
          <w:iCs/>
        </w:rPr>
        <w:t>Project Goal</w:t>
      </w:r>
      <w:r w:rsidR="000C162F" w:rsidRPr="45F5C608">
        <w:rPr>
          <w:b/>
          <w:bCs/>
          <w:i/>
          <w:iCs/>
        </w:rPr>
        <w:t>s</w:t>
      </w:r>
      <w:r w:rsidR="001E7826" w:rsidRPr="45F5C608">
        <w:rPr>
          <w:b/>
          <w:bCs/>
          <w:i/>
          <w:iCs/>
        </w:rPr>
        <w:t xml:space="preserve"> &amp; Motivation</w:t>
      </w:r>
    </w:p>
    <w:p w14:paraId="574DFBD5" w14:textId="586C9C38" w:rsidR="0051130C" w:rsidRDefault="3C071D51" w:rsidP="0051130C">
      <w:r w:rsidRPr="45F5C608">
        <w:rPr>
          <w:rFonts w:ascii="Calibri" w:eastAsia="Calibri" w:hAnsi="Calibri" w:cs="Calibri"/>
          <w:lang w:val="en-US"/>
        </w:rPr>
        <w:t xml:space="preserve">The integration of SIEM (Security Information and Event Management) with Machine Learning (ML) aims to enhance threat detection, reduce false positives, accelerate response times, and automate security analysis. Traditional SIEM relies on rule-based methods, making it difficult to detect emerging attacks, whereas ML can learn normal behavior patterns, identify anomalies, and improve detection accuracy. With increasingly complex cyber threats, SOC (Security Operations Centers) face overwhelming alerts—ML helps analyze data intelligently, reducing manual workload and prioritizing threats more effectively. Additionally, as cloud computing and remote work </w:t>
      </w:r>
      <w:proofErr w:type="gramStart"/>
      <w:r w:rsidRPr="45F5C608">
        <w:rPr>
          <w:rFonts w:ascii="Calibri" w:eastAsia="Calibri" w:hAnsi="Calibri" w:cs="Calibri"/>
          <w:lang w:val="en-US"/>
        </w:rPr>
        <w:t>expand</w:t>
      </w:r>
      <w:proofErr w:type="gramEnd"/>
      <w:r w:rsidRPr="45F5C608">
        <w:rPr>
          <w:rFonts w:ascii="Calibri" w:eastAsia="Calibri" w:hAnsi="Calibri" w:cs="Calibri"/>
          <w:lang w:val="en-US"/>
        </w:rPr>
        <w:t xml:space="preserve"> the attack surface, ML enables adaptive threat detection. Overall, combining SIEM with ML makes cybersecurity more intelligent and real-time, strengthening enterprise security posture.</w:t>
      </w:r>
    </w:p>
    <w:p w14:paraId="0770FF92" w14:textId="2B03C23A" w:rsidR="0051130C" w:rsidRDefault="0051130C" w:rsidP="0051130C">
      <w:pPr>
        <w:pStyle w:val="3"/>
        <w:rPr>
          <w:b/>
          <w:bCs/>
          <w:i/>
          <w:iCs/>
        </w:rPr>
      </w:pPr>
      <w:r w:rsidRPr="45F5C608">
        <w:rPr>
          <w:b/>
          <w:bCs/>
          <w:i/>
          <w:iCs/>
        </w:rPr>
        <w:t>Project Methodology</w:t>
      </w:r>
    </w:p>
    <w:p w14:paraId="09CCFB93" w14:textId="6EC07A5B" w:rsidR="0051130C" w:rsidRDefault="5337D0F6" w:rsidP="002B4E6E">
      <w:pPr>
        <w:spacing w:after="0"/>
        <w:rPr>
          <w:rFonts w:ascii="Calibri" w:eastAsia="Calibri" w:hAnsi="Calibri" w:cs="Calibri"/>
          <w:lang w:val="en-US"/>
        </w:rPr>
      </w:pPr>
      <w:r w:rsidRPr="45F5C608">
        <w:rPr>
          <w:rFonts w:ascii="Calibri" w:eastAsia="Calibri" w:hAnsi="Calibri" w:cs="Calibri"/>
          <w:lang w:val="en-US"/>
        </w:rPr>
        <w:t>1</w:t>
      </w:r>
      <w:proofErr w:type="gramStart"/>
      <w:r w:rsidRPr="45F5C608">
        <w:rPr>
          <w:rFonts w:ascii="Calibri" w:eastAsia="Calibri" w:hAnsi="Calibri" w:cs="Calibri"/>
          <w:lang w:val="en-US"/>
        </w:rPr>
        <w:t>.Define</w:t>
      </w:r>
      <w:proofErr w:type="gramEnd"/>
      <w:r w:rsidRPr="45F5C608">
        <w:rPr>
          <w:rFonts w:ascii="Calibri" w:eastAsia="Calibri" w:hAnsi="Calibri" w:cs="Calibri"/>
          <w:lang w:val="en-US"/>
        </w:rPr>
        <w:t xml:space="preserve"> the research theme and focus on a specific problem, such as improving the security detection capabilities of SIEM combined with machine learning.</w:t>
      </w:r>
    </w:p>
    <w:p w14:paraId="26911D42" w14:textId="3873DAD5" w:rsidR="0051130C" w:rsidRDefault="5337D0F6" w:rsidP="002B4E6E">
      <w:pPr>
        <w:spacing w:after="0"/>
        <w:rPr>
          <w:rFonts w:ascii="Calibri" w:eastAsia="Calibri" w:hAnsi="Calibri" w:cs="Calibri"/>
          <w:lang w:val="en-US"/>
        </w:rPr>
      </w:pPr>
      <w:r w:rsidRPr="45F5C608">
        <w:rPr>
          <w:rFonts w:ascii="Calibri" w:eastAsia="Calibri" w:hAnsi="Calibri" w:cs="Calibri"/>
          <w:lang w:val="en-US"/>
        </w:rPr>
        <w:t>2.Search for relevant literature in academic databases and select high-quality, relevant papers based on the research objectives.</w:t>
      </w:r>
    </w:p>
    <w:p w14:paraId="0BF04EF9" w14:textId="28D14D52" w:rsidR="0051130C" w:rsidRDefault="5337D0F6" w:rsidP="002B4E6E">
      <w:pPr>
        <w:spacing w:after="0"/>
        <w:rPr>
          <w:rFonts w:ascii="Calibri" w:eastAsia="Calibri" w:hAnsi="Calibri" w:cs="Calibri"/>
          <w:lang w:val="en-US"/>
        </w:rPr>
      </w:pPr>
      <w:r w:rsidRPr="45F5C608">
        <w:rPr>
          <w:rFonts w:ascii="Calibri" w:eastAsia="Calibri" w:hAnsi="Calibri" w:cs="Calibri"/>
          <w:lang w:val="en-US"/>
        </w:rPr>
        <w:t>3</w:t>
      </w:r>
      <w:proofErr w:type="gramStart"/>
      <w:r w:rsidRPr="45F5C608">
        <w:rPr>
          <w:rFonts w:ascii="Calibri" w:eastAsia="Calibri" w:hAnsi="Calibri" w:cs="Calibri"/>
          <w:lang w:val="en-US"/>
        </w:rPr>
        <w:t>.Read</w:t>
      </w:r>
      <w:proofErr w:type="gramEnd"/>
      <w:r w:rsidRPr="45F5C608">
        <w:rPr>
          <w:rFonts w:ascii="Calibri" w:eastAsia="Calibri" w:hAnsi="Calibri" w:cs="Calibri"/>
          <w:lang w:val="en-US"/>
        </w:rPr>
        <w:t xml:space="preserve"> the selected papers in detail, analyzing their methods, contributions, and limitations, and understanding the current progress in the field.</w:t>
      </w:r>
    </w:p>
    <w:p w14:paraId="05435E3E" w14:textId="51CFB712" w:rsidR="0051130C" w:rsidRDefault="5337D0F6" w:rsidP="002B4E6E">
      <w:pPr>
        <w:spacing w:after="0"/>
        <w:rPr>
          <w:rFonts w:ascii="Calibri" w:eastAsia="Calibri" w:hAnsi="Calibri" w:cs="Calibri"/>
          <w:lang w:val="en-US"/>
        </w:rPr>
      </w:pPr>
      <w:r w:rsidRPr="45F5C608">
        <w:rPr>
          <w:rFonts w:ascii="Calibri" w:eastAsia="Calibri" w:hAnsi="Calibri" w:cs="Calibri"/>
          <w:lang w:val="en-US"/>
        </w:rPr>
        <w:t>4</w:t>
      </w:r>
      <w:proofErr w:type="gramStart"/>
      <w:r w:rsidRPr="45F5C608">
        <w:rPr>
          <w:rFonts w:ascii="Calibri" w:eastAsia="Calibri" w:hAnsi="Calibri" w:cs="Calibri"/>
          <w:lang w:val="en-US"/>
        </w:rPr>
        <w:t>.Categorize</w:t>
      </w:r>
      <w:proofErr w:type="gramEnd"/>
      <w:r w:rsidRPr="45F5C608">
        <w:rPr>
          <w:rFonts w:ascii="Calibri" w:eastAsia="Calibri" w:hAnsi="Calibri" w:cs="Calibri"/>
          <w:lang w:val="en-US"/>
        </w:rPr>
        <w:t xml:space="preserve"> the papers by theme, summarize key findings, and identify research gaps and challenges.</w:t>
      </w:r>
    </w:p>
    <w:p w14:paraId="4A3EF373" w14:textId="1C3A0874" w:rsidR="0051130C" w:rsidRDefault="5337D0F6" w:rsidP="002B4E6E">
      <w:pPr>
        <w:spacing w:after="0"/>
        <w:rPr>
          <w:rFonts w:ascii="Calibri" w:eastAsia="Calibri" w:hAnsi="Calibri" w:cs="Calibri"/>
          <w:lang w:val="en-US"/>
        </w:rPr>
      </w:pPr>
      <w:r w:rsidRPr="45F5C608">
        <w:rPr>
          <w:rFonts w:ascii="Calibri" w:eastAsia="Calibri" w:hAnsi="Calibri" w:cs="Calibri"/>
          <w:lang w:val="en-US"/>
        </w:rPr>
        <w:t>5.Write a research summary report, outlining the key points from the literature review to provide a foundation for further research.</w:t>
      </w:r>
    </w:p>
    <w:p w14:paraId="7CD45CE7" w14:textId="23EEC200" w:rsidR="0051130C" w:rsidRDefault="0051130C" w:rsidP="0051130C">
      <w:pPr>
        <w:pStyle w:val="3"/>
        <w:rPr>
          <w:b/>
          <w:bCs/>
          <w:i/>
          <w:iCs/>
        </w:rPr>
      </w:pPr>
      <w:r>
        <w:rPr>
          <w:b/>
          <w:bCs/>
          <w:i/>
          <w:iCs/>
        </w:rPr>
        <w:t>Related Work</w:t>
      </w:r>
    </w:p>
    <w:p w14:paraId="59083AC7" w14:textId="3A22E0FF" w:rsidR="0051130C" w:rsidRDefault="670812F5" w:rsidP="0051130C">
      <w:r>
        <w:t>Google AI: plays a crucial role in the field of machine learning by providing open-source tools, frameworks (such as TensorFlow), advanced research outcomes, and powerful computing platforms</w:t>
      </w:r>
      <w:r w:rsidR="002B4E6E">
        <w:fldChar w:fldCharType="begin"/>
      </w:r>
      <w:r w:rsidR="002B4E6E">
        <w:instrText xml:space="preserve"> ADDIN EN.CITE &lt;EndNote&gt;&lt;Cite&gt;&lt;Author&gt;AI&lt;/Author&gt;&lt;Year&gt;2025&lt;/Year&gt;&lt;RecNum&gt;1&lt;/RecNum&gt;&lt;DisplayText&gt;[1]&lt;/DisplayText&gt;&lt;record&gt;&lt;rec-number&gt;1&lt;/rec-number&gt;&lt;foreign-keys&gt;&lt;key app="EN" db-id="awdepxp5jdaxd7ez906xvxrv2sa9edda0r2r" timestamp="1743502158"&gt;1&lt;/key&gt;&lt;/foreign-keys&gt;&lt;ref-type name="Web Page"&gt;12&lt;/ref-type&gt;&lt;contributors&gt;&lt;authors&gt;&lt;author&gt;Google AI&lt;/author&gt;&lt;/authors&gt;&lt;/contributors&gt;&lt;titles&gt;&lt;/titles&gt;&lt;volume&gt;2025&lt;/volume&gt;&lt;number&gt;April 1&lt;/number&gt;&lt;dates&gt;&lt;year&gt;2025&lt;/year&gt;&lt;/dates&gt;&lt;urls&gt;&lt;related-urls&gt;&lt;url&gt;https://ai.google/&lt;/url&gt;&lt;/related-urls&gt;&lt;/urls&gt;&lt;/record&gt;&lt;/Cite&gt;&lt;/EndNote&gt;</w:instrText>
      </w:r>
      <w:r w:rsidR="002B4E6E">
        <w:fldChar w:fldCharType="separate"/>
      </w:r>
      <w:r w:rsidR="002B4E6E">
        <w:rPr>
          <w:noProof/>
        </w:rPr>
        <w:t>[1]</w:t>
      </w:r>
      <w:r w:rsidR="002B4E6E">
        <w:fldChar w:fldCharType="end"/>
      </w:r>
      <w:r>
        <w:t>.</w:t>
      </w:r>
    </w:p>
    <w:p w14:paraId="383B5A87" w14:textId="0A22A4D9" w:rsidR="0051130C" w:rsidRDefault="670812F5" w:rsidP="45F5C608">
      <w:r>
        <w:t>Splunk: discusses how SIEM integrates log management, event correlation, and automated responses to enhance security visibility, threat detection, and compliance. The article also highlights the value of advanced analytics and machine learning in improving risk management and operational efficiency</w:t>
      </w:r>
      <w:r w:rsidR="002B4E6E">
        <w:fldChar w:fldCharType="begin"/>
      </w:r>
      <w:r w:rsidR="002B4E6E">
        <w:instrText xml:space="preserve"> ADDIN EN.CITE &lt;EndNote&gt;&lt;Cite&gt;&lt;Author&gt;Splunk&lt;/Author&gt;&lt;Year&gt;2025&lt;/Year&gt;&lt;RecNum&gt;2&lt;/RecNum&gt;&lt;DisplayText&gt;[2]&lt;/DisplayText&gt;&lt;record&gt;&lt;rec-number&gt;2&lt;/rec-number&gt;&lt;foreign-keys&gt;&lt;key app="EN" db-id="awdepxp5jdaxd7ez906xvxrv2sa9edda0r2r" timestamp="1743502247"&gt;2&lt;/key&gt;&lt;/foreign-keys&gt;&lt;ref-type name="Web Page"&gt;12&lt;/ref-type&gt;&lt;contributors&gt;&lt;authors&gt;&lt;author&gt;Splunk&lt;/author&gt;&lt;/authors&gt;&lt;/contributors&gt;&lt;titles&gt;&lt;/titles&gt;&lt;volume&gt;2025&lt;/volume&gt;&lt;number&gt;April 1&lt;/number&gt;&lt;dates&gt;&lt;year&gt;2025&lt;/year&gt;&lt;/dates&gt;&lt;urls&gt;&lt;related-urls&gt;&lt;url&gt;https://www.splunk.com/en_us/blog/learn/siem-security-information-event-management.html&lt;/url&gt;&lt;/related-urls&gt;&lt;/urls&gt;&lt;/record&gt;&lt;/Cite&gt;&lt;/EndNote&gt;</w:instrText>
      </w:r>
      <w:r w:rsidR="002B4E6E">
        <w:fldChar w:fldCharType="separate"/>
      </w:r>
      <w:r w:rsidR="002B4E6E">
        <w:rPr>
          <w:noProof/>
        </w:rPr>
        <w:t>[2]</w:t>
      </w:r>
      <w:r w:rsidR="002B4E6E">
        <w:fldChar w:fldCharType="end"/>
      </w:r>
      <w:r>
        <w:t>.</w:t>
      </w:r>
    </w:p>
    <w:p w14:paraId="7A0362A1" w14:textId="1D36DD43" w:rsidR="0051130C" w:rsidRPr="0051130C" w:rsidRDefault="0051130C" w:rsidP="0051130C">
      <w:pPr>
        <w:pStyle w:val="2"/>
      </w:pPr>
      <w:r>
        <w:t>References</w:t>
      </w:r>
    </w:p>
    <w:p w14:paraId="7824ECFB" w14:textId="6A486068" w:rsidR="002B4E6E" w:rsidRPr="002B4E6E" w:rsidRDefault="002B4E6E" w:rsidP="002B4E6E">
      <w:pPr>
        <w:pStyle w:val="EndNoteBibliography"/>
        <w:spacing w:after="0"/>
        <w:ind w:left="720" w:hanging="720"/>
      </w:pPr>
      <w:r>
        <w:fldChar w:fldCharType="begin"/>
      </w:r>
      <w:r>
        <w:instrText xml:space="preserve"> ADDIN EN.REFLIST </w:instrText>
      </w:r>
      <w:r>
        <w:fldChar w:fldCharType="separate"/>
      </w:r>
      <w:r w:rsidRPr="002B4E6E">
        <w:t>[1]</w:t>
      </w:r>
      <w:r w:rsidRPr="002B4E6E">
        <w:tab/>
        <w:t xml:space="preserve">G. AI. </w:t>
      </w:r>
      <w:hyperlink r:id="rId7" w:history="1">
        <w:r w:rsidRPr="002B4E6E">
          <w:rPr>
            <w:rStyle w:val="a9"/>
          </w:rPr>
          <w:t>https://ai.google/</w:t>
        </w:r>
      </w:hyperlink>
      <w:r w:rsidRPr="002B4E6E">
        <w:t xml:space="preserve"> (accessed April 1, 2025).</w:t>
      </w:r>
    </w:p>
    <w:p w14:paraId="2B81973A" w14:textId="090479A9" w:rsidR="002B4E6E" w:rsidRPr="002B4E6E" w:rsidRDefault="002B4E6E" w:rsidP="002B4E6E">
      <w:pPr>
        <w:pStyle w:val="EndNoteBibliography"/>
        <w:ind w:left="720" w:hanging="720"/>
      </w:pPr>
      <w:r w:rsidRPr="002B4E6E">
        <w:t>[2]</w:t>
      </w:r>
      <w:r w:rsidRPr="002B4E6E">
        <w:tab/>
        <w:t xml:space="preserve">Splunk. </w:t>
      </w:r>
      <w:hyperlink r:id="rId8" w:history="1">
        <w:r w:rsidRPr="002B4E6E">
          <w:rPr>
            <w:rStyle w:val="a9"/>
          </w:rPr>
          <w:t>https://www.splunk.com/en_us/blog/learn/siem-security-information-event-management.html</w:t>
        </w:r>
      </w:hyperlink>
      <w:r w:rsidRPr="002B4E6E">
        <w:t xml:space="preserve"> (accessed April 1, 2025).</w:t>
      </w:r>
    </w:p>
    <w:p w14:paraId="04E60596" w14:textId="3BA45C9C" w:rsidR="0051130C" w:rsidRDefault="002B4E6E" w:rsidP="0051130C">
      <w:r>
        <w:fldChar w:fldCharType="end"/>
      </w:r>
    </w:p>
    <w:sectPr w:rsidR="005113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0E779" w14:textId="77777777" w:rsidR="007B4702" w:rsidRDefault="007B4702" w:rsidP="007330AA">
      <w:pPr>
        <w:spacing w:after="0" w:line="240" w:lineRule="auto"/>
      </w:pPr>
      <w:r>
        <w:separator/>
      </w:r>
    </w:p>
  </w:endnote>
  <w:endnote w:type="continuationSeparator" w:id="0">
    <w:p w14:paraId="4BD14078" w14:textId="77777777" w:rsidR="007B4702" w:rsidRDefault="007B4702" w:rsidP="0073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8BFFC" w14:textId="77777777" w:rsidR="007B4702" w:rsidRDefault="007B4702" w:rsidP="007330AA">
      <w:pPr>
        <w:spacing w:after="0" w:line="240" w:lineRule="auto"/>
      </w:pPr>
      <w:r>
        <w:separator/>
      </w:r>
    </w:p>
  </w:footnote>
  <w:footnote w:type="continuationSeparator" w:id="0">
    <w:p w14:paraId="6EDA092B" w14:textId="77777777" w:rsidR="007B4702" w:rsidRDefault="007B4702" w:rsidP="00733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AA261" w14:textId="3CB0ECF6" w:rsidR="0099529C" w:rsidRDefault="0099529C" w:rsidP="0099529C">
    <w:pPr>
      <w:pStyle w:val="a3"/>
    </w:pPr>
    <w:r>
      <w:t xml:space="preserve">COMS4507 </w:t>
    </w:r>
    <w:r w:rsidR="00B52D81">
      <w:t xml:space="preserve">  </w:t>
    </w:r>
    <w:r>
      <w:t xml:space="preserve"> The University of Queensland</w:t>
    </w:r>
  </w:p>
  <w:p w14:paraId="1C177774" w14:textId="77777777" w:rsidR="0099529C" w:rsidRDefault="009952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BBB1A"/>
    <w:multiLevelType w:val="hybridMultilevel"/>
    <w:tmpl w:val="5AA036D2"/>
    <w:lvl w:ilvl="0" w:tplc="8402E2F2">
      <w:start w:val="1"/>
      <w:numFmt w:val="bullet"/>
      <w:lvlText w:val=""/>
      <w:lvlJc w:val="left"/>
      <w:pPr>
        <w:ind w:left="720" w:hanging="360"/>
      </w:pPr>
      <w:rPr>
        <w:rFonts w:ascii="Symbol" w:hAnsi="Symbol" w:hint="default"/>
      </w:rPr>
    </w:lvl>
    <w:lvl w:ilvl="1" w:tplc="E618D6F6">
      <w:start w:val="1"/>
      <w:numFmt w:val="bullet"/>
      <w:lvlText w:val="o"/>
      <w:lvlJc w:val="left"/>
      <w:pPr>
        <w:ind w:left="1440" w:hanging="360"/>
      </w:pPr>
      <w:rPr>
        <w:rFonts w:ascii="Courier New" w:hAnsi="Courier New" w:hint="default"/>
      </w:rPr>
    </w:lvl>
    <w:lvl w:ilvl="2" w:tplc="490A97C0">
      <w:start w:val="1"/>
      <w:numFmt w:val="bullet"/>
      <w:lvlText w:val=""/>
      <w:lvlJc w:val="left"/>
      <w:pPr>
        <w:ind w:left="2160" w:hanging="360"/>
      </w:pPr>
      <w:rPr>
        <w:rFonts w:ascii="Wingdings" w:hAnsi="Wingdings" w:hint="default"/>
      </w:rPr>
    </w:lvl>
    <w:lvl w:ilvl="3" w:tplc="3006AB78">
      <w:start w:val="1"/>
      <w:numFmt w:val="bullet"/>
      <w:lvlText w:val=""/>
      <w:lvlJc w:val="left"/>
      <w:pPr>
        <w:ind w:left="2880" w:hanging="360"/>
      </w:pPr>
      <w:rPr>
        <w:rFonts w:ascii="Symbol" w:hAnsi="Symbol" w:hint="default"/>
      </w:rPr>
    </w:lvl>
    <w:lvl w:ilvl="4" w:tplc="C5BC4476">
      <w:start w:val="1"/>
      <w:numFmt w:val="bullet"/>
      <w:lvlText w:val="o"/>
      <w:lvlJc w:val="left"/>
      <w:pPr>
        <w:ind w:left="3600" w:hanging="360"/>
      </w:pPr>
      <w:rPr>
        <w:rFonts w:ascii="Courier New" w:hAnsi="Courier New" w:hint="default"/>
      </w:rPr>
    </w:lvl>
    <w:lvl w:ilvl="5" w:tplc="C18209AA">
      <w:start w:val="1"/>
      <w:numFmt w:val="bullet"/>
      <w:lvlText w:val=""/>
      <w:lvlJc w:val="left"/>
      <w:pPr>
        <w:ind w:left="4320" w:hanging="360"/>
      </w:pPr>
      <w:rPr>
        <w:rFonts w:ascii="Wingdings" w:hAnsi="Wingdings" w:hint="default"/>
      </w:rPr>
    </w:lvl>
    <w:lvl w:ilvl="6" w:tplc="2B965EBA">
      <w:start w:val="1"/>
      <w:numFmt w:val="bullet"/>
      <w:lvlText w:val=""/>
      <w:lvlJc w:val="left"/>
      <w:pPr>
        <w:ind w:left="5040" w:hanging="360"/>
      </w:pPr>
      <w:rPr>
        <w:rFonts w:ascii="Symbol" w:hAnsi="Symbol" w:hint="default"/>
      </w:rPr>
    </w:lvl>
    <w:lvl w:ilvl="7" w:tplc="8C3C6044">
      <w:start w:val="1"/>
      <w:numFmt w:val="bullet"/>
      <w:lvlText w:val="o"/>
      <w:lvlJc w:val="left"/>
      <w:pPr>
        <w:ind w:left="5760" w:hanging="360"/>
      </w:pPr>
      <w:rPr>
        <w:rFonts w:ascii="Courier New" w:hAnsi="Courier New" w:hint="default"/>
      </w:rPr>
    </w:lvl>
    <w:lvl w:ilvl="8" w:tplc="6A92D23E">
      <w:start w:val="1"/>
      <w:numFmt w:val="bullet"/>
      <w:lvlText w:val=""/>
      <w:lvlJc w:val="left"/>
      <w:pPr>
        <w:ind w:left="6480" w:hanging="360"/>
      </w:pPr>
      <w:rPr>
        <w:rFonts w:ascii="Wingdings" w:hAnsi="Wingdings" w:hint="default"/>
      </w:rPr>
    </w:lvl>
  </w:abstractNum>
  <w:num w:numId="1" w16cid:durableId="40549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wdepxp5jdaxd7ez906xvxrv2sa9edda0r2r&quot;&gt;My EndNote Library&lt;record-ids&gt;&lt;item&gt;1&lt;/item&gt;&lt;item&gt;2&lt;/item&gt;&lt;/record-ids&gt;&lt;/item&gt;&lt;/Libraries&gt;"/>
  </w:docVars>
  <w:rsids>
    <w:rsidRoot w:val="007330AA"/>
    <w:rsid w:val="000C162F"/>
    <w:rsid w:val="001E7826"/>
    <w:rsid w:val="001F7D8E"/>
    <w:rsid w:val="002B4E6E"/>
    <w:rsid w:val="003F3E1D"/>
    <w:rsid w:val="0051130C"/>
    <w:rsid w:val="006F5228"/>
    <w:rsid w:val="007330AA"/>
    <w:rsid w:val="00743BA4"/>
    <w:rsid w:val="007B4702"/>
    <w:rsid w:val="0082335F"/>
    <w:rsid w:val="00875FCE"/>
    <w:rsid w:val="00895EC5"/>
    <w:rsid w:val="0099529C"/>
    <w:rsid w:val="00AA3E61"/>
    <w:rsid w:val="00AF41B9"/>
    <w:rsid w:val="00B52D81"/>
    <w:rsid w:val="00C60850"/>
    <w:rsid w:val="00C92421"/>
    <w:rsid w:val="00D249AD"/>
    <w:rsid w:val="00F2258A"/>
    <w:rsid w:val="00F41A23"/>
    <w:rsid w:val="00FF5004"/>
    <w:rsid w:val="03075B34"/>
    <w:rsid w:val="1BD88B9D"/>
    <w:rsid w:val="1EE7597A"/>
    <w:rsid w:val="385AE49B"/>
    <w:rsid w:val="3C071D51"/>
    <w:rsid w:val="4218E581"/>
    <w:rsid w:val="45F5C608"/>
    <w:rsid w:val="5337D0F6"/>
    <w:rsid w:val="54CB3309"/>
    <w:rsid w:val="563F67F0"/>
    <w:rsid w:val="670812F5"/>
    <w:rsid w:val="6B77ABB0"/>
    <w:rsid w:val="6BAF2F8E"/>
    <w:rsid w:val="7947FF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EC019"/>
  <w15:chartTrackingRefBased/>
  <w15:docId w15:val="{FF17A94C-51C9-4867-BA55-86AA443A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3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92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92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30AA"/>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7330AA"/>
    <w:pPr>
      <w:tabs>
        <w:tab w:val="center" w:pos="4513"/>
        <w:tab w:val="right" w:pos="9026"/>
      </w:tabs>
      <w:spacing w:after="0" w:line="240" w:lineRule="auto"/>
    </w:pPr>
  </w:style>
  <w:style w:type="character" w:customStyle="1" w:styleId="a4">
    <w:name w:val="页眉 字符"/>
    <w:basedOn w:val="a0"/>
    <w:link w:val="a3"/>
    <w:uiPriority w:val="99"/>
    <w:rsid w:val="007330AA"/>
  </w:style>
  <w:style w:type="paragraph" w:styleId="a5">
    <w:name w:val="footer"/>
    <w:basedOn w:val="a"/>
    <w:link w:val="a6"/>
    <w:uiPriority w:val="99"/>
    <w:unhideWhenUsed/>
    <w:rsid w:val="007330AA"/>
    <w:pPr>
      <w:tabs>
        <w:tab w:val="center" w:pos="4513"/>
        <w:tab w:val="right" w:pos="9026"/>
      </w:tabs>
      <w:spacing w:after="0" w:line="240" w:lineRule="auto"/>
    </w:pPr>
  </w:style>
  <w:style w:type="character" w:customStyle="1" w:styleId="a6">
    <w:name w:val="页脚 字符"/>
    <w:basedOn w:val="a0"/>
    <w:link w:val="a5"/>
    <w:uiPriority w:val="99"/>
    <w:rsid w:val="007330AA"/>
  </w:style>
  <w:style w:type="table" w:styleId="a7">
    <w:name w:val="Table Grid"/>
    <w:basedOn w:val="a1"/>
    <w:uiPriority w:val="39"/>
    <w:rsid w:val="00733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92421"/>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C92421"/>
    <w:rPr>
      <w:rFonts w:asciiTheme="majorHAnsi" w:eastAsiaTheme="majorEastAsia" w:hAnsiTheme="majorHAnsi" w:cstheme="majorBidi"/>
      <w:color w:val="1F3763" w:themeColor="accent1" w:themeShade="7F"/>
      <w:sz w:val="24"/>
      <w:szCs w:val="24"/>
    </w:rPr>
  </w:style>
  <w:style w:type="paragraph" w:styleId="a8">
    <w:name w:val="List Paragraph"/>
    <w:basedOn w:val="a"/>
    <w:uiPriority w:val="34"/>
    <w:qFormat/>
    <w:rsid w:val="45F5C608"/>
    <w:pPr>
      <w:ind w:left="720"/>
    </w:pPr>
  </w:style>
  <w:style w:type="paragraph" w:customStyle="1" w:styleId="EndNoteBibliographyTitle">
    <w:name w:val="EndNote Bibliography Title"/>
    <w:basedOn w:val="a"/>
    <w:link w:val="EndNoteBibliographyTitle0"/>
    <w:rsid w:val="002B4E6E"/>
    <w:pPr>
      <w:spacing w:after="0"/>
      <w:jc w:val="center"/>
    </w:pPr>
    <w:rPr>
      <w:rFonts w:ascii="Calibri" w:hAnsi="Calibri" w:cs="Calibri"/>
      <w:noProof/>
      <w:lang w:val="en-US"/>
    </w:rPr>
  </w:style>
  <w:style w:type="character" w:customStyle="1" w:styleId="EndNoteBibliographyTitle0">
    <w:name w:val="EndNote Bibliography Title 字符"/>
    <w:basedOn w:val="a0"/>
    <w:link w:val="EndNoteBibliographyTitle"/>
    <w:rsid w:val="002B4E6E"/>
    <w:rPr>
      <w:rFonts w:ascii="Calibri" w:hAnsi="Calibri" w:cs="Calibri"/>
      <w:noProof/>
      <w:lang w:val="en-US"/>
    </w:rPr>
  </w:style>
  <w:style w:type="paragraph" w:customStyle="1" w:styleId="EndNoteBibliography">
    <w:name w:val="EndNote Bibliography"/>
    <w:basedOn w:val="a"/>
    <w:link w:val="EndNoteBibliography0"/>
    <w:rsid w:val="002B4E6E"/>
    <w:pPr>
      <w:spacing w:line="240" w:lineRule="auto"/>
    </w:pPr>
    <w:rPr>
      <w:rFonts w:ascii="Calibri" w:hAnsi="Calibri" w:cs="Calibri"/>
      <w:noProof/>
      <w:lang w:val="en-US"/>
    </w:rPr>
  </w:style>
  <w:style w:type="character" w:customStyle="1" w:styleId="EndNoteBibliography0">
    <w:name w:val="EndNote Bibliography 字符"/>
    <w:basedOn w:val="a0"/>
    <w:link w:val="EndNoteBibliography"/>
    <w:rsid w:val="002B4E6E"/>
    <w:rPr>
      <w:rFonts w:ascii="Calibri" w:hAnsi="Calibri" w:cs="Calibri"/>
      <w:noProof/>
      <w:lang w:val="en-US"/>
    </w:rPr>
  </w:style>
  <w:style w:type="character" w:styleId="a9">
    <w:name w:val="Hyperlink"/>
    <w:basedOn w:val="a0"/>
    <w:uiPriority w:val="99"/>
    <w:unhideWhenUsed/>
    <w:rsid w:val="002B4E6E"/>
    <w:rPr>
      <w:color w:val="0563C1" w:themeColor="hyperlink"/>
      <w:u w:val="single"/>
    </w:rPr>
  </w:style>
  <w:style w:type="character" w:styleId="aa">
    <w:name w:val="Unresolved Mention"/>
    <w:basedOn w:val="a0"/>
    <w:uiPriority w:val="99"/>
    <w:semiHidden/>
    <w:unhideWhenUsed/>
    <w:rsid w:val="002B4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unk.com/en_us/blog/learn/siem-security-information-event-management.html" TargetMode="External"/><Relationship Id="rId3" Type="http://schemas.openxmlformats.org/officeDocument/2006/relationships/settings" Target="settings.xml"/><Relationship Id="rId7" Type="http://schemas.openxmlformats.org/officeDocument/2006/relationships/hyperlink" Target="https://ai.goo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Ferreira</dc:creator>
  <cp:keywords/>
  <dc:description/>
  <cp:lastModifiedBy>Boya Feng</cp:lastModifiedBy>
  <cp:revision>4</cp:revision>
  <dcterms:created xsi:type="dcterms:W3CDTF">2025-04-01T07:35:00Z</dcterms:created>
  <dcterms:modified xsi:type="dcterms:W3CDTF">2025-04-01T10:12:00Z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2022-02-23T11:35:05Z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061cfddb-442d-4bda-80cc-cd2010913058</vt:lpwstr>
  </property>
  <property fmtid="{D5CDD505-2E9C-101B-9397-08002B2CF9AE}" pid="8" name="MSIP_Label_0f488380-630a-4f55-a077-a19445e3f360_ContentBits">
    <vt:lpwstr>0</vt:lpwstr>
  </property>
</Properties>
</file>