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w:t>
            </w:r>
          </w:p>
          <w:p w:rsidR="00000000" w:rsidDel="00000000" w:rsidP="00000000" w:rsidRDefault="00000000" w:rsidRPr="00000000">
            <w:pPr>
              <w:contextualSpacing w:val="0"/>
            </w:pPr>
            <w:r w:rsidDel="00000000" w:rsidR="00000000" w:rsidRPr="00000000">
              <w:rPr>
                <w:rFonts w:ascii="Nova Mono" w:cs="Nova Mono" w:eastAsia="Nova Mono" w:hAnsi="Nova Mono"/>
                <w:b w:val="1"/>
                <w:sz w:val="20"/>
                <w:szCs w:val="20"/>
                <w:rtl w:val="0"/>
              </w:rPr>
              <w:t xml:space="preserve">Integer. Integer types can hold whole numbers such as 123 and −96. The size of the values that can be stored depends on the integer type that we choose.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w:t>
            </w:r>
          </w:p>
          <w:p w:rsidR="00000000" w:rsidDel="00000000" w:rsidP="00000000" w:rsidRDefault="00000000" w:rsidRPr="00000000">
            <w:pPr>
              <w:contextualSpacing w:val="0"/>
            </w:pPr>
            <w:r w:rsidDel="00000000" w:rsidR="00000000" w:rsidRPr="00000000">
              <w:rPr>
                <w:b w:val="1"/>
                <w:sz w:val="20"/>
                <w:szCs w:val="20"/>
                <w:rtl w:val="0"/>
              </w:rPr>
              <w:t xml:space="preserve">the double datatype is used to hold decimal numbers. It will hold any real number (including decimals) .</w:t>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w:t>
            </w:r>
          </w:p>
          <w:p w:rsidR="00000000" w:rsidDel="00000000" w:rsidP="00000000" w:rsidRDefault="00000000" w:rsidRPr="00000000">
            <w:pPr>
              <w:contextualSpacing w:val="0"/>
            </w:pPr>
            <w:r w:rsidDel="00000000" w:rsidR="00000000" w:rsidRPr="00000000">
              <w:rPr>
                <w:b w:val="1"/>
                <w:sz w:val="20"/>
                <w:szCs w:val="20"/>
                <w:rtl w:val="0"/>
              </w:rPr>
              <w:t xml:space="preserve">Used to store values with two states: ture and 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p>
          <w:p w:rsidR="00000000" w:rsidDel="00000000" w:rsidP="00000000" w:rsidRDefault="00000000" w:rsidRPr="00000000">
            <w:pPr>
              <w:contextualSpacing w:val="0"/>
            </w:pPr>
            <w:r w:rsidDel="00000000" w:rsidR="00000000" w:rsidRPr="00000000">
              <w:rPr>
                <w:b w:val="1"/>
                <w:sz w:val="20"/>
                <w:szCs w:val="20"/>
                <w:rtl w:val="0"/>
              </w:rPr>
              <w:t xml:space="preserve">Floating point data types are used to represent numbers with a fractional part. Single precision floating point numbers occupy 4 bytes and Double precision floating point numbers occupy 8 bytes. There are two subtypes: float(4 bytes) and double(8 bytes).</w:t>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w:t>
            </w:r>
          </w:p>
          <w:p w:rsidR="00000000" w:rsidDel="00000000" w:rsidP="00000000" w:rsidRDefault="00000000" w:rsidRPr="00000000">
            <w:pPr>
              <w:contextualSpacing w:val="0"/>
            </w:pPr>
            <w:r w:rsidDel="00000000" w:rsidR="00000000" w:rsidRPr="00000000">
              <w:rPr>
                <w:b w:val="1"/>
                <w:color w:val="ffffff"/>
                <w:sz w:val="20"/>
                <w:szCs w:val="20"/>
                <w:rtl w:val="0"/>
              </w:rPr>
              <w:t xml:space="preserve">Characters, It stores character constants in the memory. It assumes a size of 2 bytes, but basically it can hold only a single character because char stores unicode character sets. It has a minimum value of ‘u0000’ (or 0) and a maximum value of ‘uffff’ (or 65,535, inclusive).</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p>
          <w:p w:rsidR="00000000" w:rsidDel="00000000" w:rsidP="00000000" w:rsidRDefault="00000000" w:rsidRPr="00000000">
            <w:pPr>
              <w:contextualSpacing w:val="0"/>
            </w:pPr>
            <w:r w:rsidDel="00000000" w:rsidR="00000000" w:rsidRPr="00000000">
              <w:rPr>
                <w:b w:val="1"/>
                <w:sz w:val="20"/>
                <w:szCs w:val="20"/>
                <w:rtl w:val="0"/>
              </w:rPr>
              <w:t xml:space="preserve">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w:t>
            </w:r>
          </w:p>
          <w:p w:rsidR="00000000" w:rsidDel="00000000" w:rsidP="00000000" w:rsidRDefault="00000000" w:rsidRPr="00000000">
            <w:pPr>
              <w:contextualSpacing w:val="0"/>
            </w:pPr>
            <w:r w:rsidDel="00000000" w:rsidR="00000000" w:rsidRPr="00000000">
              <w:rPr>
                <w:b w:val="1"/>
                <w:sz w:val="20"/>
                <w:szCs w:val="20"/>
                <w:rtl w:val="0"/>
              </w:rPr>
              <w:t xml:space="preserve">The long data type is a 64-bit two's complement integer. The signed long has a minimum value of -263 and a maximum value of 263-1. In Java SE 8 and later, you can use the long data type to represent an unsigned 64-bit long, which has a minimum value of 0 and a maximum value of 264-1. Use this data type when you need a range of values wider than those provided by int. The Long class also contains methods like compareUnsigned, divideUnsigned etc to support arithmetic operations for unsigned long.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