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F9FF" w14:textId="77777777" w:rsidR="009779F7" w:rsidRPr="009779F7" w:rsidRDefault="009779F7" w:rsidP="009779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79F7">
        <w:rPr>
          <w:rFonts w:ascii="Times New Roman" w:hAnsi="Times New Roman" w:cs="Times New Roman"/>
          <w:b/>
          <w:bCs/>
          <w:sz w:val="36"/>
          <w:szCs w:val="36"/>
        </w:rPr>
        <w:t>E-Commerce Business Dashboard</w:t>
      </w:r>
    </w:p>
    <w:p w14:paraId="3C67B588" w14:textId="087E6CF9" w:rsidR="009779F7" w:rsidRPr="009779F7" w:rsidRDefault="009779F7" w:rsidP="009779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79F7">
        <w:rPr>
          <w:rFonts w:ascii="Times New Roman" w:hAnsi="Times New Roman" w:cs="Times New Roman"/>
          <w:b/>
          <w:bCs/>
          <w:sz w:val="32"/>
          <w:szCs w:val="32"/>
        </w:rPr>
        <w:t>“Business Insights and Recommendations for Business Growth”</w:t>
      </w:r>
    </w:p>
    <w:p w14:paraId="408CDCE4" w14:textId="6BA46D1D" w:rsidR="009779F7" w:rsidRPr="009779F7" w:rsidRDefault="009779F7" w:rsidP="009779F7">
      <w:pPr>
        <w:rPr>
          <w:rFonts w:ascii="Times New Roman" w:hAnsi="Times New Roman" w:cs="Times New Roman"/>
        </w:rPr>
      </w:pPr>
    </w:p>
    <w:p w14:paraId="3C0AD496" w14:textId="05F7B7F1" w:rsidR="009779F7" w:rsidRPr="009779F7" w:rsidRDefault="009779F7" w:rsidP="009779F7">
      <w:pPr>
        <w:rPr>
          <w:rFonts w:ascii="Times New Roman" w:hAnsi="Times New Roman" w:cs="Times New Roman"/>
          <w:b/>
          <w:bCs/>
        </w:rPr>
      </w:pPr>
      <w:r w:rsidRPr="009779F7">
        <w:rPr>
          <w:rFonts w:ascii="Times New Roman" w:hAnsi="Times New Roman" w:cs="Times New Roman"/>
          <w:b/>
          <w:bCs/>
        </w:rPr>
        <w:t>BUSINESS INSIGHTS</w:t>
      </w:r>
    </w:p>
    <w:p w14:paraId="4E06157D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1. Electronics is the dominant revenue category</w:t>
      </w:r>
    </w:p>
    <w:p w14:paraId="5A732A1C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Electronics generated ₹1.83 crore, making it by far the highest-revenue category. It contributes roughly 78% of total revenue.</w:t>
      </w:r>
    </w:p>
    <w:p w14:paraId="0F235BE0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The business is heavily dependent on Electronics for overall revenue.</w:t>
      </w:r>
    </w:p>
    <w:p w14:paraId="0A4BA3B8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2. South region generates the highest revenue</w:t>
      </w:r>
    </w:p>
    <w:p w14:paraId="12D47E5F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The South region generated ₹56.91 lakh, followed by North at ₹53.36 lakh.</w:t>
      </w:r>
    </w:p>
    <w:p w14:paraId="7D00C2A6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South is currently the strongest geographical market and should be an important focus area for sales expansion.</w:t>
      </w:r>
    </w:p>
    <w:p w14:paraId="6B75A0A2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3. Central region is the weakest-performing region</w:t>
      </w:r>
    </w:p>
    <w:p w14:paraId="1AA05A3E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The Central region generated approximately ₹32.94 lakh, the lowest among all five regions.</w:t>
      </w:r>
    </w:p>
    <w:p w14:paraId="14B2CBE0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Central has significant potential for improvement through targeted promotions, product availability, and regional marketing.</w:t>
      </w:r>
    </w:p>
    <w:p w14:paraId="64B1C7AE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4. June 2026 was the strongest sales month</w:t>
      </w:r>
    </w:p>
    <w:p w14:paraId="13463F8C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June 2026 generated approximately ₹23.43 lakh, the highest monthly revenue in the dataset.</w:t>
      </w:r>
    </w:p>
    <w:p w14:paraId="09008F77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This period should be investigated to understand which products, categories, customers, or promotions contributed to the spike.</w:t>
      </w:r>
    </w:p>
    <w:p w14:paraId="5F756668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5. Tablet 2 is the top-performing product</w:t>
      </w:r>
    </w:p>
    <w:p w14:paraId="35E69BD1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Tablet 2 generated approximately ₹21.31 lakh, making it the highest-revenue product.</w:t>
      </w:r>
    </w:p>
    <w:p w14:paraId="6AF47A50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Tablet 2 is a key revenue driver and should receive strong inventory and promotional support.</w:t>
      </w:r>
    </w:p>
    <w:p w14:paraId="29B27DF5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6. Cooking Oil 4 is the weakest-performing product</w:t>
      </w:r>
    </w:p>
    <w:p w14:paraId="3F96FB58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Cooking Oil 4 generated only about ₹3,875, making it one of the lowest-revenue products.</w:t>
      </w:r>
    </w:p>
    <w:p w14:paraId="1E35228E" w14:textId="77777777" w:rsid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Its pricing, demand, visibility, and profitability should be reviewed before deciding whether to continue or replace it.</w:t>
      </w:r>
    </w:p>
    <w:p w14:paraId="43773114" w14:textId="77777777" w:rsidR="009779F7" w:rsidRPr="009779F7" w:rsidRDefault="009779F7" w:rsidP="009779F7">
      <w:pPr>
        <w:rPr>
          <w:rFonts w:ascii="Times New Roman" w:hAnsi="Times New Roman" w:cs="Times New Roman"/>
        </w:rPr>
      </w:pPr>
    </w:p>
    <w:p w14:paraId="0F021D22" w14:textId="77777777" w:rsidR="009779F7" w:rsidRPr="009779F7" w:rsidRDefault="009779F7" w:rsidP="009779F7">
      <w:pPr>
        <w:rPr>
          <w:rFonts w:ascii="Times New Roman" w:hAnsi="Times New Roman" w:cs="Times New Roman"/>
        </w:rPr>
      </w:pPr>
    </w:p>
    <w:p w14:paraId="101EB22E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lastRenderedPageBreak/>
        <w:t>7. Regular customers generate the most revenue</w:t>
      </w:r>
    </w:p>
    <w:p w14:paraId="04A65513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The Regular customer segment generated approximately ₹1.04 crore, the highest among all customer segments.</w:t>
      </w:r>
    </w:p>
    <w:p w14:paraId="7C1A5C84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Regular customers are the core revenue base and should be retained through loyalty programs and repeat-purchase campaigns.</w:t>
      </w:r>
    </w:p>
    <w:p w14:paraId="21301F8B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8. Premium customers are a smaller but valuable segment</w:t>
      </w:r>
    </w:p>
    <w:p w14:paraId="4E36E2F3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Premium customers account for only 58 unique customers, but they generated approximately ₹20.90 lakh in revenue.</w:t>
      </w:r>
    </w:p>
    <w:p w14:paraId="2AAD5ABF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Although the Premium segment is relatively small, it has strong revenue potential and should receive personalized offers.</w:t>
      </w:r>
    </w:p>
    <w:p w14:paraId="026A3777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9. Revenue is concentrated among a relatively small number of customers</w:t>
      </w:r>
    </w:p>
    <w:p w14:paraId="3FDE7F10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The top customer, CUST0601, generated approximately ₹3.19 lakh in revenue. Several other top customers generated more than ₹2.5 lakh each.</w:t>
      </w:r>
    </w:p>
    <w:p w14:paraId="55BD5072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High-value customers can have a meaningful impact on total revenue, so customer retention is important.</w:t>
      </w:r>
    </w:p>
    <w:p w14:paraId="511C75C9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10. The business has strong overall transaction activity</w:t>
      </w:r>
    </w:p>
    <w:p w14:paraId="4BDF7DAE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The dataset contains 1,000 unique orders, 2,942 units sold, and approximately ₹2.35 crore in revenue, with an average order value of approximately ₹23,456.</w:t>
      </w:r>
    </w:p>
    <w:p w14:paraId="57E557FF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Insight:</w:t>
      </w:r>
      <w:r w:rsidRPr="009779F7">
        <w:rPr>
          <w:rFonts w:ascii="Times New Roman" w:hAnsi="Times New Roman" w:cs="Times New Roman"/>
        </w:rPr>
        <w:t xml:space="preserve"> The business has healthy transaction volume, while the high AOV is largely influenced by the strong contribution from Electronics.</w:t>
      </w:r>
    </w:p>
    <w:p w14:paraId="2B8E2234" w14:textId="77777777" w:rsidR="009779F7" w:rsidRPr="009779F7" w:rsidRDefault="009779F7" w:rsidP="009779F7">
      <w:pPr>
        <w:rPr>
          <w:rFonts w:ascii="Times New Roman" w:hAnsi="Times New Roman" w:cs="Times New Roman"/>
        </w:rPr>
      </w:pPr>
    </w:p>
    <w:p w14:paraId="618B8FEE" w14:textId="6C72C970" w:rsidR="009779F7" w:rsidRPr="009779F7" w:rsidRDefault="009779F7" w:rsidP="009779F7">
      <w:pPr>
        <w:rPr>
          <w:rFonts w:ascii="Times New Roman" w:hAnsi="Times New Roman" w:cs="Times New Roman"/>
          <w:b/>
          <w:bCs/>
        </w:rPr>
      </w:pPr>
      <w:r w:rsidRPr="009779F7">
        <w:rPr>
          <w:rFonts w:ascii="Times New Roman" w:hAnsi="Times New Roman" w:cs="Times New Roman"/>
          <w:b/>
          <w:bCs/>
        </w:rPr>
        <w:t>BUSINESS RECOMMENDATIONS</w:t>
      </w:r>
    </w:p>
    <w:p w14:paraId="70DDEF90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1. Increase investment in Electronics</w:t>
      </w:r>
    </w:p>
    <w:p w14:paraId="0D3C6A97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Since Electronics contributes roughly 78% of total revenue, the company should maintain strong inventory levels for high-performing electronics products such as tablets, smartwatches, and headphones.</w:t>
      </w:r>
    </w:p>
    <w:p w14:paraId="61D1DF52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Action:</w:t>
      </w:r>
      <w:r w:rsidRPr="009779F7">
        <w:rPr>
          <w:rFonts w:ascii="Times New Roman" w:hAnsi="Times New Roman" w:cs="Times New Roman"/>
        </w:rPr>
        <w:t xml:space="preserve"> Prioritize inventory, promotions, and advertising for high-revenue electronics products.</w:t>
      </w:r>
    </w:p>
    <w:p w14:paraId="246B78DF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2. Develop a strategy for the Central region</w:t>
      </w:r>
    </w:p>
    <w:p w14:paraId="4A08C7CC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Central is the lowest-revenue region.</w:t>
      </w:r>
    </w:p>
    <w:p w14:paraId="4DE5AD35" w14:textId="77777777" w:rsid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Action:</w:t>
      </w:r>
      <w:r w:rsidRPr="009779F7">
        <w:rPr>
          <w:rFonts w:ascii="Times New Roman" w:hAnsi="Times New Roman" w:cs="Times New Roman"/>
        </w:rPr>
        <w:t xml:space="preserve"> Run region-specific discounts, targeted advertising, and product campaigns to increase customer acquisition and sales in Central.</w:t>
      </w:r>
    </w:p>
    <w:p w14:paraId="5291570C" w14:textId="77777777" w:rsidR="009779F7" w:rsidRPr="009779F7" w:rsidRDefault="009779F7" w:rsidP="009779F7">
      <w:pPr>
        <w:rPr>
          <w:rFonts w:ascii="Times New Roman" w:hAnsi="Times New Roman" w:cs="Times New Roman"/>
        </w:rPr>
      </w:pPr>
    </w:p>
    <w:p w14:paraId="225B8FF3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lastRenderedPageBreak/>
        <w:t>3. Protect and grow the Regular customer segment</w:t>
      </w:r>
    </w:p>
    <w:p w14:paraId="2DAE1FBB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Regular customers are the largest revenue-generating segment.</w:t>
      </w:r>
    </w:p>
    <w:p w14:paraId="0C0417F3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Action:</w:t>
      </w:r>
      <w:r w:rsidRPr="009779F7">
        <w:rPr>
          <w:rFonts w:ascii="Times New Roman" w:hAnsi="Times New Roman" w:cs="Times New Roman"/>
        </w:rPr>
        <w:t xml:space="preserve"> Introduce loyalty rewards, repeat-purchase discounts, personalized recommendations, and exclusive offers.</w:t>
      </w:r>
    </w:p>
    <w:p w14:paraId="5B67B8D1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4. Review low-performing products</w:t>
      </w:r>
    </w:p>
    <w:p w14:paraId="352A0E2E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Products such as Cooking Oil 4, Snacks 3, Snacks 2, Coffee 3, and Makeup Kit 4 have very low revenue.</w:t>
      </w:r>
    </w:p>
    <w:p w14:paraId="296ED5E6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Action:</w:t>
      </w:r>
      <w:r w:rsidRPr="009779F7">
        <w:rPr>
          <w:rFonts w:ascii="Times New Roman" w:hAnsi="Times New Roman" w:cs="Times New Roman"/>
        </w:rPr>
        <w:t xml:space="preserve"> </w:t>
      </w:r>
      <w:proofErr w:type="spellStart"/>
      <w:r w:rsidRPr="009779F7">
        <w:rPr>
          <w:rFonts w:ascii="Times New Roman" w:hAnsi="Times New Roman" w:cs="Times New Roman"/>
        </w:rPr>
        <w:t>Analyze</w:t>
      </w:r>
      <w:proofErr w:type="spellEnd"/>
      <w:r w:rsidRPr="009779F7">
        <w:rPr>
          <w:rFonts w:ascii="Times New Roman" w:hAnsi="Times New Roman" w:cs="Times New Roman"/>
        </w:rPr>
        <w:t xml:space="preserve"> their sales volume, pricing, customer demand, and margins. Consider promotional campaigns, price adjustments, or discontinuation if performance does not improve.</w:t>
      </w:r>
    </w:p>
    <w:p w14:paraId="4EB5F18B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5. Retain high-value customers</w:t>
      </w:r>
    </w:p>
    <w:p w14:paraId="3500398A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</w:rPr>
        <w:t>A small group of customers contributes substantial revenue.</w:t>
      </w:r>
    </w:p>
    <w:p w14:paraId="64AC2704" w14:textId="77777777" w:rsidR="009779F7" w:rsidRPr="009779F7" w:rsidRDefault="009779F7" w:rsidP="009779F7">
      <w:pPr>
        <w:rPr>
          <w:rFonts w:ascii="Times New Roman" w:hAnsi="Times New Roman" w:cs="Times New Roman"/>
        </w:rPr>
      </w:pPr>
      <w:r w:rsidRPr="009779F7">
        <w:rPr>
          <w:rFonts w:ascii="Times New Roman" w:hAnsi="Times New Roman" w:cs="Times New Roman"/>
          <w:b/>
          <w:bCs/>
        </w:rPr>
        <w:t>Action:</w:t>
      </w:r>
      <w:r w:rsidRPr="009779F7">
        <w:rPr>
          <w:rFonts w:ascii="Times New Roman" w:hAnsi="Times New Roman" w:cs="Times New Roman"/>
        </w:rPr>
        <w:t xml:space="preserve"> Create a VIP/high-value customer strategy with personalized offers, loyalty benefits, early access to products, and targeted communication.</w:t>
      </w:r>
    </w:p>
    <w:p w14:paraId="3921D903" w14:textId="77777777" w:rsidR="009779F7" w:rsidRPr="009779F7" w:rsidRDefault="009779F7" w:rsidP="009779F7">
      <w:pPr>
        <w:rPr>
          <w:rFonts w:ascii="Times New Roman" w:hAnsi="Times New Roman" w:cs="Times New Roman"/>
          <w:b/>
          <w:bCs/>
        </w:rPr>
      </w:pPr>
    </w:p>
    <w:sectPr w:rsidR="009779F7" w:rsidRPr="0097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F7"/>
    <w:rsid w:val="00294048"/>
    <w:rsid w:val="003067E1"/>
    <w:rsid w:val="003C2F8C"/>
    <w:rsid w:val="00972700"/>
    <w:rsid w:val="009779F7"/>
    <w:rsid w:val="00B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E5A0"/>
  <w15:chartTrackingRefBased/>
  <w15:docId w15:val="{5EC8CED0-A23A-450F-8722-BC45C76E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1</cp:revision>
  <dcterms:created xsi:type="dcterms:W3CDTF">2026-10-05T12:14:00Z</dcterms:created>
  <dcterms:modified xsi:type="dcterms:W3CDTF">2026-10-05T12:22:00Z</dcterms:modified>
</cp:coreProperties>
</file>