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APACHE SPARK MINI-PROJECT</w:t>
      </w:r>
    </w:p>
    <w:p>
      <w:pPr>
        <w:jc w:val="center"/>
      </w:pPr>
      <w:r>
        <w:rPr>
          <w:b/>
          <w:sz w:val="50"/>
        </w:rPr>
        <w:t>Pharmacy Sales and Stock Monitoring</w:t>
      </w:r>
    </w:p>
    <w:p>
      <w:pPr>
        <w:jc w:val="center"/>
      </w:pPr>
      <w:r>
        <w:rPr>
          <w:sz w:val="26"/>
        </w:rPr>
        <w:t>Final Implementation, Verification and Technical Explanation</w:t>
      </w:r>
    </w:p>
    <w:p/>
    <w:p/>
    <w:p/>
    <w:p>
      <w:pPr>
        <w:jc w:val="center"/>
      </w:pPr>
      <w:r>
        <w:rPr>
          <w:b/>
        </w:rPr>
        <w:t>Technology stack</w:t>
      </w:r>
    </w:p>
    <w:p>
      <w:pPr>
        <w:jc w:val="center"/>
      </w:pPr>
      <w:r>
        <w:t>Ubuntu Linux / WSL2 | Java 17 | Scala 2.12.18 | Apache Spark 3.5.9 | sbt 1.12.15</w:t>
      </w:r>
    </w:p>
    <w:p>
      <w:pPr>
        <w:jc w:val="center"/>
      </w:pPr>
      <w:r>
        <w:t>Project scope: pharmacy event processing, stock monitoring, low-stock alerts, Spark analytics and DStreams</w:t>
      </w:r>
    </w:p>
    <w:p>
      <w:pPr>
        <w:jc w:val="center"/>
      </w:pPr>
      <w:r>
        <w:t>Verified on September 3, 2026</w:t>
      </w:r>
    </w:p>
    <w:p>
      <w:r>
        <w:br w:type="page"/>
      </w:r>
    </w:p>
    <w:p>
      <w:pPr>
        <w:pStyle w:val="Heading1"/>
      </w:pPr>
      <w:r>
        <w:t>1. Project Title and Objective</w:t>
      </w:r>
    </w:p>
    <w:p>
      <w:pPr>
        <w:spacing w:after="100"/>
      </w:pPr>
      <w:r>
        <w:t>Project title: Pharmacy Sales and Stock Monitoring.</w:t>
      </w:r>
    </w:p>
    <w:p>
      <w:pPr>
        <w:spacing w:after="100"/>
      </w:pPr>
      <w:r>
        <w:t>The objective is to build a small, explainable Apache Spark application that processes pharmacy medicine sales and restocking events, calculates current stock, identifies medicines that are approaching or crossing reorder thresholds, and demonstrates the Spark concepts required by the academic assessment.</w:t>
      </w:r>
    </w:p>
    <w:p>
      <w:pPr>
        <w:spacing w:after="100"/>
      </w:pPr>
      <w:r>
        <w:t>The implementation deliberately avoids unnecessary application features such as a web frontend, database, authentication, REST APIs, machine learning and cloud services. The focus remains on Spark data processing, partitioning, shuffling, state and streaming.</w:t>
      </w:r>
    </w:p>
    <w:p>
      <w:pPr>
        <w:pStyle w:val="Heading1"/>
      </w:pPr>
      <w:r>
        <w:t>2. Problem Statement</w:t>
      </w:r>
    </w:p>
    <w:p>
      <w:pPr>
        <w:spacing w:after="100"/>
      </w:pPr>
      <w:r>
        <w:t>A pharmacy needs a simple monitoring process for medicine inventory. A product master contains the starting stock and reorder level. A stream or batch of events contains sales and restocking operations. The processing system must combine those records to calculate current stock and highlight products that need attention.</w:t>
      </w:r>
    </w:p>
    <w:p>
      <w:pPr>
        <w:spacing w:after="100"/>
      </w:pPr>
      <w:r>
        <w:t>The core stock formula is:</w:t>
      </w:r>
    </w:p>
    <w:p>
      <w:pPr>
        <w:pStyle w:val="CodeBlock"/>
        <w:spacing w:after="80"/>
        <w:ind w:left="360"/>
      </w:pPr>
      <w:r>
        <w:t>Current Stock = Initial Stock - Total Sales + Total Restocking</w:t>
      </w:r>
    </w:p>
    <w:p>
      <w:pPr>
        <w:spacing w:after="100"/>
      </w:pPr>
      <w:r>
        <w:t>The project uses three alert levels in addition to adequate stock: STOCK_OUT, BELOW_REORDER and AT_RISK.</w:t>
      </w:r>
    </w:p>
    <w:p>
      <w:pPr>
        <w:pStyle w:val="Heading1"/>
      </w:pPr>
      <w:r>
        <w:t>3. Technologies Used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Technology</w:t>
            </w:r>
          </w:p>
        </w:tc>
        <w:tc>
          <w:tcPr>
            <w:tcW w:type="dxa" w:w="5112"/>
            <w:shd w:fill="D9EAF7"/>
            <w:vAlign w:val="center"/>
          </w:tcPr>
          <w:p>
            <w:r>
              <w:rPr>
                <w:b/>
              </w:rPr>
              <w:t>Version / Use</w:t>
            </w:r>
          </w:p>
        </w:tc>
      </w:tr>
      <w:tr>
        <w:tc>
          <w:tcPr>
            <w:tcW w:type="dxa" w:w="5112"/>
            <w:vAlign w:val="center"/>
          </w:tcPr>
          <w:p>
            <w:r>
              <w:t>Ubuntu Linux / WSL2</w:t>
            </w:r>
          </w:p>
        </w:tc>
        <w:tc>
          <w:tcPr>
            <w:tcW w:type="dxa" w:w="5112"/>
            <w:vAlign w:val="center"/>
          </w:tcPr>
          <w:p>
            <w:r>
              <w:t>Execution environment</w:t>
            </w:r>
          </w:p>
        </w:tc>
      </w:tr>
      <w:tr>
        <w:tc>
          <w:tcPr>
            <w:tcW w:type="dxa" w:w="5112"/>
            <w:vAlign w:val="center"/>
          </w:tcPr>
          <w:p>
            <w:r>
              <w:t>Java</w:t>
            </w:r>
          </w:p>
        </w:tc>
        <w:tc>
          <w:tcPr>
            <w:tcW w:type="dxa" w:w="5112"/>
            <w:vAlign w:val="center"/>
          </w:tcPr>
          <w:p>
            <w:r>
              <w:t>17.0.20</w:t>
            </w:r>
          </w:p>
        </w:tc>
      </w:tr>
      <w:tr>
        <w:tc>
          <w:tcPr>
            <w:tcW w:type="dxa" w:w="5112"/>
            <w:vAlign w:val="center"/>
          </w:tcPr>
          <w:p>
            <w:r>
              <w:t>Scala</w:t>
            </w:r>
          </w:p>
        </w:tc>
        <w:tc>
          <w:tcPr>
            <w:tcW w:type="dxa" w:w="5112"/>
            <w:vAlign w:val="center"/>
          </w:tcPr>
          <w:p>
            <w:r>
              <w:t>2.12.18</w:t>
            </w:r>
          </w:p>
        </w:tc>
      </w:tr>
      <w:tr>
        <w:tc>
          <w:tcPr>
            <w:tcW w:type="dxa" w:w="5112"/>
            <w:vAlign w:val="center"/>
          </w:tcPr>
          <w:p>
            <w:r>
              <w:t>Apache Spark</w:t>
            </w:r>
          </w:p>
        </w:tc>
        <w:tc>
          <w:tcPr>
            <w:tcW w:type="dxa" w:w="5112"/>
            <w:vAlign w:val="center"/>
          </w:tcPr>
          <w:p>
            <w:r>
              <w:t>3.5.9</w:t>
            </w:r>
          </w:p>
        </w:tc>
      </w:tr>
      <w:tr>
        <w:tc>
          <w:tcPr>
            <w:tcW w:type="dxa" w:w="5112"/>
            <w:vAlign w:val="center"/>
          </w:tcPr>
          <w:p>
            <w:r>
              <w:t>sbt</w:t>
            </w:r>
          </w:p>
        </w:tc>
        <w:tc>
          <w:tcPr>
            <w:tcW w:type="dxa" w:w="5112"/>
            <w:vAlign w:val="center"/>
          </w:tcPr>
          <w:p>
            <w:r>
              <w:t>1.12.15</w:t>
            </w:r>
          </w:p>
        </w:tc>
      </w:tr>
      <w:tr>
        <w:tc>
          <w:tcPr>
            <w:tcW w:type="dxa" w:w="5112"/>
            <w:vAlign w:val="center"/>
          </w:tcPr>
          <w:p>
            <w:r>
              <w:t>Spark Core</w:t>
            </w:r>
          </w:p>
        </w:tc>
        <w:tc>
          <w:tcPr>
            <w:tcW w:type="dxa" w:w="5112"/>
            <w:vAlign w:val="center"/>
          </w:tcPr>
          <w:p>
            <w:r>
              <w:t>RDDs, Pair RDDs, broadcast, accumulator</w:t>
            </w:r>
          </w:p>
        </w:tc>
      </w:tr>
      <w:tr>
        <w:tc>
          <w:tcPr>
            <w:tcW w:type="dxa" w:w="5112"/>
            <w:vAlign w:val="center"/>
          </w:tcPr>
          <w:p>
            <w:r>
              <w:t>Spark SQL</w:t>
            </w:r>
          </w:p>
        </w:tc>
        <w:tc>
          <w:tcPr>
            <w:tcW w:type="dxa" w:w="5112"/>
            <w:vAlign w:val="center"/>
          </w:tcPr>
          <w:p>
            <w:r>
              <w:t>DataFrames, Datasets, SQL, joins, aggregations, windows and UDF</w:t>
            </w:r>
          </w:p>
        </w:tc>
      </w:tr>
      <w:tr>
        <w:tc>
          <w:tcPr>
            <w:tcW w:type="dxa" w:w="5112"/>
            <w:vAlign w:val="center"/>
          </w:tcPr>
          <w:p>
            <w:r>
              <w:t>Spark Streaming</w:t>
            </w:r>
          </w:p>
        </w:tc>
        <w:tc>
          <w:tcPr>
            <w:tcW w:type="dxa" w:w="5112"/>
            <w:vAlign w:val="center"/>
          </w:tcPr>
          <w:p>
            <w:r>
              <w:t>Classic DStreams and micro-batches</w:t>
            </w:r>
          </w:p>
        </w:tc>
      </w:tr>
    </w:tbl>
    <w:p/>
    <w:p>
      <w:pPr>
        <w:pStyle w:val="Heading1"/>
      </w:pPr>
      <w:r>
        <w:t>4. Folder Structure</w:t>
      </w:r>
    </w:p>
    <w:p>
      <w:pPr>
        <w:pStyle w:val="CodeBlock"/>
        <w:spacing w:after="80"/>
        <w:ind w:left="360"/>
      </w:pPr>
      <w:r>
        <w:t>spark-mini-project/</w:t>
        <w:br/>
        <w:t>├── build.sbt</w:t>
        <w:br/>
        <w:t>├── project/</w:t>
        <w:br/>
        <w:t>│   └── build.properties</w:t>
        <w:br/>
        <w:t>├── src/main/scala/</w:t>
        <w:br/>
        <w:t>│   ├── BatchProcessor.scala</w:t>
        <w:br/>
        <w:t>│   ├── StreamingProcessor.scala</w:t>
        <w:br/>
        <w:t>│   ├── Models.scala</w:t>
        <w:br/>
        <w:t>│   └── Utils.scala</w:t>
        <w:br/>
        <w:t>├── data/</w:t>
        <w:br/>
        <w:t>│   ├── input/</w:t>
        <w:br/>
        <w:t>│   │   └── pharmacy_events.csv</w:t>
        <w:br/>
        <w:t>│   ├── reference/</w:t>
        <w:br/>
        <w:t>│   │   └── product_master.csv</w:t>
        <w:br/>
        <w:t>│   ├── streaming/</w:t>
        <w:br/>
        <w:t>│   │   ├── input/</w:t>
        <w:br/>
        <w:t>│   │   ├── sample/</w:t>
        <w:br/>
        <w:t>│   │   └── checkpoint/</w:t>
        <w:br/>
        <w:t>│   └── output/</w:t>
        <w:br/>
        <w:t>│       ├── batch/</w:t>
        <w:br/>
        <w:t>│       ├── analysis/</w:t>
        <w:br/>
        <w:t>│       └── streaming/</w:t>
        <w:br/>
        <w:t>└── README.md</w:t>
      </w:r>
    </w:p>
    <w:p>
      <w:pPr>
        <w:spacing w:after="100"/>
      </w:pPr>
      <w:r>
        <w:t>The target/ and project/target/ directories are generated by sbt and are build artifacts, not manually authored application files.</w:t>
      </w:r>
    </w:p>
    <w:p>
      <w:pPr>
        <w:pStyle w:val="Heading1"/>
      </w:pPr>
      <w:r>
        <w:t>5. Input Data and Schema</w:t>
      </w:r>
    </w:p>
    <w:p>
      <w:pPr>
        <w:pStyle w:val="Heading2"/>
      </w:pPr>
      <w:r>
        <w:t>Product master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Field</w:t>
            </w:r>
          </w:p>
        </w:tc>
        <w:tc>
          <w:tcPr>
            <w:tcW w:type="dxa" w:w="3408"/>
            <w:shd w:fill="D9EAF7"/>
            <w:vAlign w:val="center"/>
          </w:tcPr>
          <w:p>
            <w:r>
              <w:rPr>
                <w:b/>
              </w:rPr>
              <w:t>Meaning</w:t>
            </w:r>
          </w:p>
        </w:tc>
        <w:tc>
          <w:tcPr>
            <w:tcW w:type="dxa" w:w="3408"/>
            <w:shd w:fill="D9EAF7"/>
            <w:vAlign w:val="center"/>
          </w:tcPr>
          <w:p>
            <w:r>
              <w:rPr>
                <w:b/>
              </w:rPr>
              <w:t>Example</w:t>
            </w:r>
          </w:p>
        </w:tc>
      </w:tr>
      <w:tr>
        <w:tc>
          <w:tcPr>
            <w:tcW w:type="dxa" w:w="3408"/>
            <w:vAlign w:val="center"/>
          </w:tcPr>
          <w:p>
            <w:r>
              <w:t>product_id</w:t>
            </w:r>
          </w:p>
        </w:tc>
        <w:tc>
          <w:tcPr>
            <w:tcW w:type="dxa" w:w="3408"/>
            <w:vAlign w:val="center"/>
          </w:tcPr>
          <w:p>
            <w:r>
              <w:t>Medicine identifier</w:t>
            </w:r>
          </w:p>
        </w:tc>
        <w:tc>
          <w:tcPr>
            <w:tcW w:type="dxa" w:w="3408"/>
            <w:vAlign w:val="center"/>
          </w:tcPr>
          <w:p>
            <w:r>
              <w:t>P001</w:t>
            </w:r>
          </w:p>
        </w:tc>
      </w:tr>
      <w:tr>
        <w:tc>
          <w:tcPr>
            <w:tcW w:type="dxa" w:w="3408"/>
            <w:vAlign w:val="center"/>
          </w:tcPr>
          <w:p>
            <w:r>
              <w:t>product_name</w:t>
            </w:r>
          </w:p>
        </w:tc>
        <w:tc>
          <w:tcPr>
            <w:tcW w:type="dxa" w:w="3408"/>
            <w:vAlign w:val="center"/>
          </w:tcPr>
          <w:p>
            <w:r>
              <w:t>Medicine name</w:t>
            </w:r>
          </w:p>
        </w:tc>
        <w:tc>
          <w:tcPr>
            <w:tcW w:type="dxa" w:w="3408"/>
            <w:vAlign w:val="center"/>
          </w:tcPr>
          <w:p>
            <w:r>
              <w:t>Paracetamol 500mg</w:t>
            </w:r>
          </w:p>
        </w:tc>
      </w:tr>
      <w:tr>
        <w:tc>
          <w:tcPr>
            <w:tcW w:type="dxa" w:w="3408"/>
            <w:vAlign w:val="center"/>
          </w:tcPr>
          <w:p>
            <w:r>
              <w:t>category</w:t>
            </w:r>
          </w:p>
        </w:tc>
        <w:tc>
          <w:tcPr>
            <w:tcW w:type="dxa" w:w="3408"/>
            <w:vAlign w:val="center"/>
          </w:tcPr>
          <w:p>
            <w:r>
              <w:t>Medicine category</w:t>
            </w:r>
          </w:p>
        </w:tc>
        <w:tc>
          <w:tcPr>
            <w:tcW w:type="dxa" w:w="3408"/>
            <w:vAlign w:val="center"/>
          </w:tcPr>
          <w:p>
            <w:r>
              <w:t>Analgesic</w:t>
            </w:r>
          </w:p>
        </w:tc>
      </w:tr>
      <w:tr>
        <w:tc>
          <w:tcPr>
            <w:tcW w:type="dxa" w:w="3408"/>
            <w:vAlign w:val="center"/>
          </w:tcPr>
          <w:p>
            <w:r>
              <w:t>reorder_level</w:t>
            </w:r>
          </w:p>
        </w:tc>
        <w:tc>
          <w:tcPr>
            <w:tcW w:type="dxa" w:w="3408"/>
            <w:vAlign w:val="center"/>
          </w:tcPr>
          <w:p>
            <w:r>
              <w:t>Minimum recommended stock level</w:t>
            </w:r>
          </w:p>
        </w:tc>
        <w:tc>
          <w:tcPr>
            <w:tcW w:type="dxa" w:w="3408"/>
            <w:vAlign w:val="center"/>
          </w:tcPr>
          <w:p>
            <w:r>
              <w:t>30</w:t>
            </w:r>
          </w:p>
        </w:tc>
      </w:tr>
      <w:tr>
        <w:tc>
          <w:tcPr>
            <w:tcW w:type="dxa" w:w="3408"/>
            <w:vAlign w:val="center"/>
          </w:tcPr>
          <w:p>
            <w:r>
              <w:t>initial_stock</w:t>
            </w:r>
          </w:p>
        </w:tc>
        <w:tc>
          <w:tcPr>
            <w:tcW w:type="dxa" w:w="3408"/>
            <w:vAlign w:val="center"/>
          </w:tcPr>
          <w:p>
            <w:r>
              <w:t>Stock available at project start</w:t>
            </w:r>
          </w:p>
        </w:tc>
        <w:tc>
          <w:tcPr>
            <w:tcW w:type="dxa" w:w="3408"/>
            <w:vAlign w:val="center"/>
          </w:tcPr>
          <w:p>
            <w:r>
              <w:t>100</w:t>
            </w:r>
          </w:p>
        </w:tc>
      </w:tr>
    </w:tbl>
    <w:p/>
    <w:p>
      <w:pPr>
        <w:pStyle w:val="Heading2"/>
      </w:pPr>
      <w:r>
        <w:t>Pharmacy events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Field</w:t>
            </w:r>
          </w:p>
        </w:tc>
        <w:tc>
          <w:tcPr>
            <w:tcW w:type="dxa" w:w="3408"/>
            <w:shd w:fill="D9EAF7"/>
            <w:vAlign w:val="center"/>
          </w:tcPr>
          <w:p>
            <w:r>
              <w:rPr>
                <w:b/>
              </w:rPr>
              <w:t>Meaning</w:t>
            </w:r>
          </w:p>
        </w:tc>
        <w:tc>
          <w:tcPr>
            <w:tcW w:type="dxa" w:w="3408"/>
            <w:shd w:fill="D9EAF7"/>
            <w:vAlign w:val="center"/>
          </w:tcPr>
          <w:p>
            <w:r>
              <w:rPr>
                <w:b/>
              </w:rPr>
              <w:t>Example</w:t>
            </w:r>
          </w:p>
        </w:tc>
      </w:tr>
      <w:tr>
        <w:tc>
          <w:tcPr>
            <w:tcW w:type="dxa" w:w="3408"/>
            <w:vAlign w:val="center"/>
          </w:tcPr>
          <w:p>
            <w:r>
              <w:t>event_id</w:t>
            </w:r>
          </w:p>
        </w:tc>
        <w:tc>
          <w:tcPr>
            <w:tcW w:type="dxa" w:w="3408"/>
            <w:vAlign w:val="center"/>
          </w:tcPr>
          <w:p>
            <w:r>
              <w:t>Unique event identifier</w:t>
            </w:r>
          </w:p>
        </w:tc>
        <w:tc>
          <w:tcPr>
            <w:tcW w:type="dxa" w:w="3408"/>
            <w:vAlign w:val="center"/>
          </w:tcPr>
          <w:p>
            <w:r>
              <w:t>E001</w:t>
            </w:r>
          </w:p>
        </w:tc>
      </w:tr>
      <w:tr>
        <w:tc>
          <w:tcPr>
            <w:tcW w:type="dxa" w:w="3408"/>
            <w:vAlign w:val="center"/>
          </w:tcPr>
          <w:p>
            <w:r>
              <w:t>timestamp</w:t>
            </w:r>
          </w:p>
        </w:tc>
        <w:tc>
          <w:tcPr>
            <w:tcW w:type="dxa" w:w="3408"/>
            <w:vAlign w:val="center"/>
          </w:tcPr>
          <w:p>
            <w:r>
              <w:t>Event timestamp</w:t>
            </w:r>
          </w:p>
        </w:tc>
        <w:tc>
          <w:tcPr>
            <w:tcW w:type="dxa" w:w="3408"/>
            <w:vAlign w:val="center"/>
          </w:tcPr>
          <w:p>
            <w:r>
              <w:t>2026-09-01 09:00:00</w:t>
            </w:r>
          </w:p>
        </w:tc>
      </w:tr>
      <w:tr>
        <w:tc>
          <w:tcPr>
            <w:tcW w:type="dxa" w:w="3408"/>
            <w:vAlign w:val="center"/>
          </w:tcPr>
          <w:p>
            <w:r>
              <w:t>product_id</w:t>
            </w:r>
          </w:p>
        </w:tc>
        <w:tc>
          <w:tcPr>
            <w:tcW w:type="dxa" w:w="3408"/>
            <w:vAlign w:val="center"/>
          </w:tcPr>
          <w:p>
            <w:r>
              <w:t>Affected medicine</w:t>
            </w:r>
          </w:p>
        </w:tc>
        <w:tc>
          <w:tcPr>
            <w:tcW w:type="dxa" w:w="3408"/>
            <w:vAlign w:val="center"/>
          </w:tcPr>
          <w:p>
            <w:r>
              <w:t>P001</w:t>
            </w:r>
          </w:p>
        </w:tc>
      </w:tr>
      <w:tr>
        <w:tc>
          <w:tcPr>
            <w:tcW w:type="dxa" w:w="3408"/>
            <w:vAlign w:val="center"/>
          </w:tcPr>
          <w:p>
            <w:r>
              <w:t>quantity</w:t>
            </w:r>
          </w:p>
        </w:tc>
        <w:tc>
          <w:tcPr>
            <w:tcW w:type="dxa" w:w="3408"/>
            <w:vAlign w:val="center"/>
          </w:tcPr>
          <w:p>
            <w:r>
              <w:t>Quantity changed</w:t>
            </w:r>
          </w:p>
        </w:tc>
        <w:tc>
          <w:tcPr>
            <w:tcW w:type="dxa" w:w="3408"/>
            <w:vAlign w:val="center"/>
          </w:tcPr>
          <w:p>
            <w:r>
              <w:t>15</w:t>
            </w:r>
          </w:p>
        </w:tc>
      </w:tr>
      <w:tr>
        <w:tc>
          <w:tcPr>
            <w:tcW w:type="dxa" w:w="3408"/>
            <w:vAlign w:val="center"/>
          </w:tcPr>
          <w:p>
            <w:r>
              <w:t>event_type</w:t>
            </w:r>
          </w:p>
        </w:tc>
        <w:tc>
          <w:tcPr>
            <w:tcW w:type="dxa" w:w="3408"/>
            <w:vAlign w:val="center"/>
          </w:tcPr>
          <w:p>
            <w:r>
              <w:t>SALE or RESTOCK</w:t>
            </w:r>
          </w:p>
        </w:tc>
        <w:tc>
          <w:tcPr>
            <w:tcW w:type="dxa" w:w="3408"/>
            <w:vAlign w:val="center"/>
          </w:tcPr>
          <w:p>
            <w:r>
              <w:t>SALE</w:t>
            </w:r>
          </w:p>
        </w:tc>
      </w:tr>
    </w:tbl>
    <w:p/>
    <w:p>
      <w:pPr>
        <w:spacing w:after="100"/>
      </w:pPr>
      <w:r>
        <w:t>The sample dataset contains 5 medicines and 18 valid pharmacy events. The sample deliberately includes both SALE and RESTOCK records so stock movement can be demonstrated.</w:t>
      </w:r>
    </w:p>
    <w:p>
      <w:pPr>
        <w:pStyle w:val="Heading1"/>
      </w:pPr>
      <w:r>
        <w:t>6. Batch Implementation</w:t>
      </w:r>
    </w:p>
    <w:p>
      <w:pPr>
        <w:spacing w:after="100"/>
      </w:pPr>
      <w:r>
        <w:t>BatchProcessor.scala reads the static product master and event file using Spark. Product records are converted to Product case classes. Event records are parsed into PharmacyEvent case classes. Invalid event records are filtered.</w:t>
      </w:r>
    </w:p>
    <w:p>
      <w:pPr>
        <w:spacing w:after="100"/>
      </w:pPr>
      <w:r>
        <w:t>Sales are represented as Pair RDDs with product_id as the key and quantity as the value. The same approach is used for restocking. Net movement is generated by making SALE quantities negative and RESTOCK quantities positive, then aggregating by product.</w:t>
      </w:r>
    </w:p>
    <w:p>
      <w:pPr>
        <w:pStyle w:val="CodeBlock"/>
        <w:spacing w:after="80"/>
        <w:ind w:left="360"/>
      </w:pPr>
      <w:r>
        <w:t>salesPairRDD</w:t>
        <w:br/>
        <w:t xml:space="preserve">  .map(event =&gt; (event.productId, event.quantity))</w:t>
        <w:br/>
        <w:t xml:space="preserve">  .reduceByKey(_ + _)</w:t>
      </w:r>
    </w:p>
    <w:p>
      <w:pPr>
        <w:spacing w:after="100"/>
      </w:pPr>
      <w:r>
        <w:t>The small product master is collected into a map and broadcast. The broadcast value is then used to enrich or classify products without repeatedly shipping the same reference information with every individual task.</w:t>
      </w:r>
    </w:p>
    <w:p>
      <w:pPr>
        <w:pStyle w:val="Heading1"/>
      </w:pPr>
      <w:r>
        <w:t>7. RDD Operations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Operation</w:t>
            </w:r>
          </w:p>
        </w:tc>
        <w:tc>
          <w:tcPr>
            <w:tcW w:type="dxa" w:w="3408"/>
            <w:shd w:fill="D9EAF7"/>
            <w:vAlign w:val="center"/>
          </w:tcPr>
          <w:p>
            <w:r>
              <w:rPr>
                <w:b/>
              </w:rPr>
              <w:t>Role in project</w:t>
            </w:r>
          </w:p>
        </w:tc>
        <w:tc>
          <w:tcPr>
            <w:tcW w:type="dxa" w:w="3408"/>
            <w:shd w:fill="D9EAF7"/>
            <w:vAlign w:val="center"/>
          </w:tcPr>
          <w:p>
            <w:r>
              <w:rPr>
                <w:b/>
              </w:rPr>
              <w:t>Type</w:t>
            </w:r>
          </w:p>
        </w:tc>
      </w:tr>
      <w:tr>
        <w:tc>
          <w:tcPr>
            <w:tcW w:type="dxa" w:w="3408"/>
            <w:vAlign w:val="center"/>
          </w:tcPr>
          <w:p>
            <w:r>
              <w:t>textFile</w:t>
            </w:r>
          </w:p>
        </w:tc>
        <w:tc>
          <w:tcPr>
            <w:tcW w:type="dxa" w:w="3408"/>
            <w:vAlign w:val="center"/>
          </w:tcPr>
          <w:p>
            <w:r>
              <w:t>Read static input files</w:t>
            </w:r>
          </w:p>
        </w:tc>
        <w:tc>
          <w:tcPr>
            <w:tcW w:type="dxa" w:w="3408"/>
            <w:vAlign w:val="center"/>
          </w:tcPr>
          <w:p>
            <w:r>
              <w:t>RDD creation</w:t>
            </w:r>
          </w:p>
        </w:tc>
      </w:tr>
      <w:tr>
        <w:tc>
          <w:tcPr>
            <w:tcW w:type="dxa" w:w="3408"/>
            <w:vAlign w:val="center"/>
          </w:tcPr>
          <w:p>
            <w:r>
              <w:t>filter</w:t>
            </w:r>
          </w:p>
        </w:tc>
        <w:tc>
          <w:tcPr>
            <w:tcW w:type="dxa" w:w="3408"/>
            <w:vAlign w:val="center"/>
          </w:tcPr>
          <w:p>
            <w:r>
              <w:t>Remove headers / choose SALE or RESTOCK events</w:t>
            </w:r>
          </w:p>
        </w:tc>
        <w:tc>
          <w:tcPr>
            <w:tcW w:type="dxa" w:w="3408"/>
            <w:vAlign w:val="center"/>
          </w:tcPr>
          <w:p>
            <w:r>
              <w:t>Narrow</w:t>
            </w:r>
          </w:p>
        </w:tc>
      </w:tr>
      <w:tr>
        <w:tc>
          <w:tcPr>
            <w:tcW w:type="dxa" w:w="3408"/>
            <w:vAlign w:val="center"/>
          </w:tcPr>
          <w:p>
            <w:r>
              <w:t>map</w:t>
            </w:r>
          </w:p>
        </w:tc>
        <w:tc>
          <w:tcPr>
            <w:tcW w:type="dxa" w:w="3408"/>
            <w:vAlign w:val="center"/>
          </w:tcPr>
          <w:p>
            <w:r>
              <w:t>Convert records and build Pair RDDs</w:t>
            </w:r>
          </w:p>
        </w:tc>
        <w:tc>
          <w:tcPr>
            <w:tcW w:type="dxa" w:w="3408"/>
            <w:vAlign w:val="center"/>
          </w:tcPr>
          <w:p>
            <w:r>
              <w:t>Narrow</w:t>
            </w:r>
          </w:p>
        </w:tc>
      </w:tr>
      <w:tr>
        <w:tc>
          <w:tcPr>
            <w:tcW w:type="dxa" w:w="3408"/>
            <w:vAlign w:val="center"/>
          </w:tcPr>
          <w:p>
            <w:r>
              <w:t>flatMap</w:t>
            </w:r>
          </w:p>
        </w:tc>
        <w:tc>
          <w:tcPr>
            <w:tcW w:type="dxa" w:w="3408"/>
            <w:vAlign w:val="center"/>
          </w:tcPr>
          <w:p>
            <w:r>
              <w:t>Parse and validate streaming-style records</w:t>
            </w:r>
          </w:p>
        </w:tc>
        <w:tc>
          <w:tcPr>
            <w:tcW w:type="dxa" w:w="3408"/>
            <w:vAlign w:val="center"/>
          </w:tcPr>
          <w:p>
            <w:r>
              <w:t>Narrow</w:t>
            </w:r>
          </w:p>
        </w:tc>
      </w:tr>
      <w:tr>
        <w:tc>
          <w:tcPr>
            <w:tcW w:type="dxa" w:w="3408"/>
            <w:vAlign w:val="center"/>
          </w:tcPr>
          <w:p>
            <w:r>
              <w:t>mapValues</w:t>
            </w:r>
          </w:p>
        </w:tc>
        <w:tc>
          <w:tcPr>
            <w:tcW w:type="dxa" w:w="3408"/>
            <w:vAlign w:val="center"/>
          </w:tcPr>
          <w:p>
            <w:r>
              <w:t>Transform Pair RDD values while preserving keys</w:t>
            </w:r>
          </w:p>
        </w:tc>
        <w:tc>
          <w:tcPr>
            <w:tcW w:type="dxa" w:w="3408"/>
            <w:vAlign w:val="center"/>
          </w:tcPr>
          <w:p>
            <w:r>
              <w:t>Narrow</w:t>
            </w:r>
          </w:p>
        </w:tc>
      </w:tr>
      <w:tr>
        <w:tc>
          <w:tcPr>
            <w:tcW w:type="dxa" w:w="3408"/>
            <w:vAlign w:val="center"/>
          </w:tcPr>
          <w:p>
            <w:r>
              <w:t>reduceByKey</w:t>
            </w:r>
          </w:p>
        </w:tc>
        <w:tc>
          <w:tcPr>
            <w:tcW w:type="dxa" w:w="3408"/>
            <w:vAlign w:val="center"/>
          </w:tcPr>
          <w:p>
            <w:r>
              <w:t>Aggregate quantities per product</w:t>
            </w:r>
          </w:p>
        </w:tc>
        <w:tc>
          <w:tcPr>
            <w:tcW w:type="dxa" w:w="3408"/>
            <w:vAlign w:val="center"/>
          </w:tcPr>
          <w:p>
            <w:r>
              <w:t>Wide / shuffle</w:t>
            </w:r>
          </w:p>
        </w:tc>
      </w:tr>
      <w:tr>
        <w:tc>
          <w:tcPr>
            <w:tcW w:type="dxa" w:w="3408"/>
            <w:vAlign w:val="center"/>
          </w:tcPr>
          <w:p>
            <w:r>
              <w:t>sortByKey / sortBy</w:t>
            </w:r>
          </w:p>
        </w:tc>
        <w:tc>
          <w:tcPr>
            <w:tcW w:type="dxa" w:w="3408"/>
            <w:vAlign w:val="center"/>
          </w:tcPr>
          <w:p>
            <w:r>
              <w:t>Produce deterministic output ordering</w:t>
            </w:r>
          </w:p>
        </w:tc>
        <w:tc>
          <w:tcPr>
            <w:tcW w:type="dxa" w:w="3408"/>
            <w:vAlign w:val="center"/>
          </w:tcPr>
          <w:p>
            <w:r>
              <w:t>Wide / shuffle</w:t>
            </w:r>
          </w:p>
        </w:tc>
      </w:tr>
      <w:tr>
        <w:tc>
          <w:tcPr>
            <w:tcW w:type="dxa" w:w="3408"/>
            <w:vAlign w:val="center"/>
          </w:tcPr>
          <w:p>
            <w:r>
              <w:t>collect</w:t>
            </w:r>
          </w:p>
        </w:tc>
        <w:tc>
          <w:tcPr>
            <w:tcW w:type="dxa" w:w="3408"/>
            <w:vAlign w:val="center"/>
          </w:tcPr>
          <w:p>
            <w:r>
              <w:t>Bring small result sets to the driver</w:t>
            </w:r>
          </w:p>
        </w:tc>
        <w:tc>
          <w:tcPr>
            <w:tcW w:type="dxa" w:w="3408"/>
            <w:vAlign w:val="center"/>
          </w:tcPr>
          <w:p>
            <w:r>
              <w:t>Action</w:t>
            </w:r>
          </w:p>
        </w:tc>
      </w:tr>
      <w:tr>
        <w:tc>
          <w:tcPr>
            <w:tcW w:type="dxa" w:w="3408"/>
            <w:vAlign w:val="center"/>
          </w:tcPr>
          <w:p>
            <w:r>
              <w:t>saveAsTextFile</w:t>
            </w:r>
          </w:p>
        </w:tc>
        <w:tc>
          <w:tcPr>
            <w:tcW w:type="dxa" w:w="3408"/>
            <w:vAlign w:val="center"/>
          </w:tcPr>
          <w:p>
            <w:r>
              <w:t>Write distributed output</w:t>
            </w:r>
          </w:p>
        </w:tc>
        <w:tc>
          <w:tcPr>
            <w:tcW w:type="dxa" w:w="3408"/>
            <w:vAlign w:val="center"/>
          </w:tcPr>
          <w:p>
            <w:r>
              <w:t>Action</w:t>
            </w:r>
          </w:p>
        </w:tc>
      </w:tr>
    </w:tbl>
    <w:p/>
    <w:p>
      <w:pPr>
        <w:pStyle w:val="Heading1"/>
      </w:pPr>
      <w:r>
        <w:t>8. Spark SQL / DataFrame Processing</w:t>
      </w:r>
    </w:p>
    <w:p>
      <w:pPr>
        <w:spacing w:after="100"/>
      </w:pPr>
      <w:r>
        <w:t>Phase 3 creates DataFrames from the product master and event RDD. It also converts event records to a Dataset using the PharmacyEvent case class. Temporary views named products and pharmacy_events are created so the same data can be queried through Spark SQL.</w:t>
      </w:r>
    </w:p>
    <w:p>
      <w:pPr>
        <w:pStyle w:val="CodeBlock"/>
        <w:spacing w:after="80"/>
        <w:ind w:left="360"/>
      </w:pPr>
      <w:r>
        <w:t>SELECT product_id, SUM(quantity) AS total_sold</w:t>
        <w:br/>
        <w:t>FROM pharmacy_events</w:t>
        <w:br/>
        <w:t>WHERE event_type = 'SALE'</w:t>
        <w:br/>
        <w:t>GROUP BY product_id</w:t>
        <w:br/>
        <w:t>ORDER BY product_id</w:t>
      </w:r>
    </w:p>
    <w:p>
      <w:pPr>
        <w:spacing w:after="100"/>
      </w:pPr>
      <w:r>
        <w:t>The DataFrame solution groups sales and restocks separately, then joins those aggregates to the product master. Missing aggregate values are replaced with zero. The resulting DataFrame calculates current_stock and applies a stock-status UDF.</w:t>
      </w:r>
    </w:p>
    <w:p>
      <w:pPr>
        <w:pStyle w:val="Heading1"/>
      </w:pPr>
      <w:r>
        <w:t>9. Streaming Implementation</w:t>
      </w:r>
    </w:p>
    <w:p>
      <w:pPr>
        <w:spacing w:after="100"/>
      </w:pPr>
      <w:r>
        <w:t>StreamingProcessor.scala uses classic Spark Streaming DStreams rather than Structured Streaming. It watches data/streaming/input for newly arriving files. Each file is processed as part of a micro-batch.</w:t>
      </w:r>
    </w:p>
    <w:p>
      <w:pPr>
        <w:spacing w:after="100"/>
      </w:pPr>
      <w:r>
        <w:t>The application uses a 5-second batch interval. A 15-second sliding window with a 5-second slide calculates recent sales activity. Stateful stock movement is maintained with updateStateByKey. Checkpointing is enabled in data/streaming/checkpoint for recovery of streaming state and metadata.</w:t>
      </w:r>
    </w:p>
    <w:p>
      <w:pPr>
        <w:pStyle w:val="CodeBlock"/>
        <w:spacing w:after="80"/>
        <w:ind w:left="360"/>
      </w:pPr>
      <w:r>
        <w:t>val ssc = new StreamingContext(conf, Seconds(5))</w:t>
        <w:br/>
        <w:br/>
        <w:t>val rawLinesDStream =</w:t>
        <w:br/>
        <w:t xml:space="preserve">  ssc.textFileStream("data/streaming/input")</w:t>
        <w:br/>
        <w:br/>
        <w:t>val stockStateDStream =</w:t>
        <w:br/>
        <w:t xml:space="preserve">  stockDeltaDStream.updateStateByKey(updateStockState)</w:t>
        <w:br/>
        <w:br/>
        <w:t>val recentSalesWindowDStream =</w:t>
        <w:br/>
        <w:t xml:space="preserve">  saleDStream.reduceByKeyAndWindow(</w:t>
        <w:br/>
        <w:t xml:space="preserve">    (x: Int, y: Int) =&gt; x + y,</w:t>
        <w:br/>
        <w:t xml:space="preserve">    Seconds(15),</w:t>
        <w:br/>
        <w:t xml:space="preserve">    Seconds(5)</w:t>
        <w:br/>
        <w:t xml:space="preserve">  )</w:t>
      </w:r>
    </w:p>
    <w:p>
      <w:pPr>
        <w:spacing w:after="100"/>
      </w:pPr>
      <w:r>
        <w:t>The test used two sample files. After the first file, stock values moved to P001=90, P002=52, P003=35, P004=40 and P005=80. After the second file, cumulative state became P001=85, P002=57, P003=40, P004=25 and P005=80. The streaming log also showed sliding-window sales quantities, confirming both micro-batch and window processing.</w:t>
      </w:r>
    </w:p>
    <w:p>
      <w:pPr>
        <w:pStyle w:val="Heading1"/>
      </w:pPr>
      <w:r>
        <w:t>10. Narrow vs Wide Transformations</w:t>
      </w:r>
    </w:p>
    <w:p>
      <w:pPr>
        <w:spacing w:after="100"/>
      </w:pPr>
      <w:r>
        <w:t>A narrow transformation allows each child partition to be computed from a small number of parent partitions without redistributing records. Examples in this project are filter, map and mapValues.</w:t>
      </w:r>
    </w:p>
    <w:p>
      <w:pPr>
        <w:spacing w:after="100"/>
      </w:pPr>
      <w:r>
        <w:t>A wide transformation requires data to be redistributed across partitions. Examples in this project are reduceByKey, sortByKey, group-style aggregations, joins, window processing and repartition.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Transformation</w:t>
            </w:r>
          </w:p>
        </w:tc>
        <w:tc>
          <w:tcPr>
            <w:tcW w:type="dxa" w:w="3408"/>
            <w:shd w:fill="D9EAF7"/>
            <w:vAlign w:val="center"/>
          </w:tcPr>
          <w:p>
            <w:r>
              <w:rPr>
                <w:b/>
              </w:rPr>
              <w:t>Narrow / Wide</w:t>
            </w:r>
          </w:p>
        </w:tc>
        <w:tc>
          <w:tcPr>
            <w:tcW w:type="dxa" w:w="3408"/>
            <w:shd w:fill="D9EAF7"/>
            <w:vAlign w:val="center"/>
          </w:tcPr>
          <w:p>
            <w:r>
              <w:rPr>
                <w:b/>
              </w:rPr>
              <w:t>Reason</w:t>
            </w:r>
          </w:p>
        </w:tc>
      </w:tr>
      <w:tr>
        <w:tc>
          <w:tcPr>
            <w:tcW w:type="dxa" w:w="3408"/>
            <w:vAlign w:val="center"/>
          </w:tcPr>
          <w:p>
            <w:r>
              <w:t>filter</w:t>
            </w:r>
          </w:p>
        </w:tc>
        <w:tc>
          <w:tcPr>
            <w:tcW w:type="dxa" w:w="3408"/>
            <w:vAlign w:val="center"/>
          </w:tcPr>
          <w:p>
            <w:r>
              <w:t>Narrow</w:t>
            </w:r>
          </w:p>
        </w:tc>
        <w:tc>
          <w:tcPr>
            <w:tcW w:type="dxa" w:w="3408"/>
            <w:vAlign w:val="center"/>
          </w:tcPr>
          <w:p>
            <w:r>
              <w:t>Records can be filtered independently inside each partition.</w:t>
            </w:r>
          </w:p>
        </w:tc>
      </w:tr>
      <w:tr>
        <w:tc>
          <w:tcPr>
            <w:tcW w:type="dxa" w:w="3408"/>
            <w:vAlign w:val="center"/>
          </w:tcPr>
          <w:p>
            <w:r>
              <w:t>map</w:t>
            </w:r>
          </w:p>
        </w:tc>
        <w:tc>
          <w:tcPr>
            <w:tcW w:type="dxa" w:w="3408"/>
            <w:vAlign w:val="center"/>
          </w:tcPr>
          <w:p>
            <w:r>
              <w:t>Narrow</w:t>
            </w:r>
          </w:p>
        </w:tc>
        <w:tc>
          <w:tcPr>
            <w:tcW w:type="dxa" w:w="3408"/>
            <w:vAlign w:val="center"/>
          </w:tcPr>
          <w:p>
            <w:r>
              <w:t>Each input record is transformed independently.</w:t>
            </w:r>
          </w:p>
        </w:tc>
      </w:tr>
      <w:tr>
        <w:tc>
          <w:tcPr>
            <w:tcW w:type="dxa" w:w="3408"/>
            <w:vAlign w:val="center"/>
          </w:tcPr>
          <w:p>
            <w:r>
              <w:t>mapValues</w:t>
            </w:r>
          </w:p>
        </w:tc>
        <w:tc>
          <w:tcPr>
            <w:tcW w:type="dxa" w:w="3408"/>
            <w:vAlign w:val="center"/>
          </w:tcPr>
          <w:p>
            <w:r>
              <w:t>Narrow</w:t>
            </w:r>
          </w:p>
        </w:tc>
        <w:tc>
          <w:tcPr>
            <w:tcW w:type="dxa" w:w="3408"/>
            <w:vAlign w:val="center"/>
          </w:tcPr>
          <w:p>
            <w:r>
              <w:t>Values are transformed while keys remain associated with their partitions.</w:t>
            </w:r>
          </w:p>
        </w:tc>
      </w:tr>
      <w:tr>
        <w:tc>
          <w:tcPr>
            <w:tcW w:type="dxa" w:w="3408"/>
            <w:vAlign w:val="center"/>
          </w:tcPr>
          <w:p>
            <w:r>
              <w:t>reduceByKey</w:t>
            </w:r>
          </w:p>
        </w:tc>
        <w:tc>
          <w:tcPr>
            <w:tcW w:type="dxa" w:w="3408"/>
            <w:vAlign w:val="center"/>
          </w:tcPr>
          <w:p>
            <w:r>
              <w:t>Wide</w:t>
            </w:r>
          </w:p>
        </w:tc>
        <w:tc>
          <w:tcPr>
            <w:tcW w:type="dxa" w:w="3408"/>
            <w:vAlign w:val="center"/>
          </w:tcPr>
          <w:p>
            <w:r>
              <w:t>Records with the same key may need to move to the same partition.</w:t>
            </w:r>
          </w:p>
        </w:tc>
      </w:tr>
      <w:tr>
        <w:tc>
          <w:tcPr>
            <w:tcW w:type="dxa" w:w="3408"/>
            <w:vAlign w:val="center"/>
          </w:tcPr>
          <w:p>
            <w:r>
              <w:t>sortByKey</w:t>
            </w:r>
          </w:p>
        </w:tc>
        <w:tc>
          <w:tcPr>
            <w:tcW w:type="dxa" w:w="3408"/>
            <w:vAlign w:val="center"/>
          </w:tcPr>
          <w:p>
            <w:r>
              <w:t>Wide</w:t>
            </w:r>
          </w:p>
        </w:tc>
        <w:tc>
          <w:tcPr>
            <w:tcW w:type="dxa" w:w="3408"/>
            <w:vAlign w:val="center"/>
          </w:tcPr>
          <w:p>
            <w:r>
              <w:t>Sorting can require redistribution of records.</w:t>
            </w:r>
          </w:p>
        </w:tc>
      </w:tr>
      <w:tr>
        <w:tc>
          <w:tcPr>
            <w:tcW w:type="dxa" w:w="3408"/>
            <w:vAlign w:val="center"/>
          </w:tcPr>
          <w:p>
            <w:r>
              <w:t>repartition</w:t>
            </w:r>
          </w:p>
        </w:tc>
        <w:tc>
          <w:tcPr>
            <w:tcW w:type="dxa" w:w="3408"/>
            <w:vAlign w:val="center"/>
          </w:tcPr>
          <w:p>
            <w:r>
              <w:t>Wide</w:t>
            </w:r>
          </w:p>
        </w:tc>
        <w:tc>
          <w:tcPr>
            <w:tcW w:type="dxa" w:w="3408"/>
            <w:vAlign w:val="center"/>
          </w:tcPr>
          <w:p>
            <w:r>
              <w:t>Records are redistributed into the requested partition count.</w:t>
            </w:r>
          </w:p>
        </w:tc>
      </w:tr>
    </w:tbl>
    <w:p/>
    <w:p>
      <w:pPr>
        <w:pStyle w:val="Heading1"/>
      </w:pPr>
      <w:r>
        <w:t>11. DAG and Stages</w:t>
      </w:r>
    </w:p>
    <w:p>
      <w:pPr>
        <w:spacing w:after="100"/>
      </w:pPr>
      <w:r>
        <w:t>Spark builds a directed acyclic graph from transformations and separates the job into stages around shuffle boundaries. In this project a simple sales path can be represented as:</w:t>
      </w:r>
    </w:p>
    <w:p>
      <w:pPr>
        <w:pStyle w:val="CodeBlock"/>
        <w:spacing w:after="80"/>
        <w:ind w:left="360"/>
      </w:pPr>
      <w:r>
        <w:t>textFile -&gt; filter -&gt; map -&gt; reduceByKey -&gt; mapValues -&gt; action</w:t>
        <w:br/>
        <w:t xml:space="preserve">                         |</w:t>
        <w:br/>
        <w:t xml:space="preserve">                         +---- shuffle boundary ----+</w:t>
      </w:r>
    </w:p>
    <w:p>
      <w:pPr>
        <w:spacing w:after="100"/>
      </w:pPr>
      <w:r>
        <w:t>The verified lineage output explicitly showed a ShuffledRDD created by reduceByKey, with upstream map, filter, cached partitions and the original HadoopRDD input. This is direct runtime evidence that the aggregation creates a shuffle boundary.</w:t>
      </w:r>
    </w:p>
    <w:p>
      <w:pPr>
        <w:spacing w:after="100"/>
      </w:pPr>
      <w:r>
        <w:t>An action such as collect or saveAsTextFile causes Spark to materialize the required lineage. Stages are formed so that narrow transformations can be pipelined inside a stage, while shuffle-producing operations separate stages.</w:t>
      </w:r>
    </w:p>
    <w:p>
      <w:pPr>
        <w:pStyle w:val="Heading1"/>
      </w:pPr>
      <w:r>
        <w:t>12. Shuffle and Partitioning</w:t>
      </w:r>
    </w:p>
    <w:p>
      <w:pPr>
        <w:spacing w:after="100"/>
      </w:pPr>
      <w:r>
        <w:t>The verified local run used 2 input event partitions. The total-sales and net-movement Pair RDDs also reported 2 partitions. The debug output showed a ShuffledRDD for reduceByKey. Phase 3 additionally demonstrated partitionBy(2), repartition(4) and coalesce(1).</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Concept</w:t>
            </w:r>
          </w:p>
        </w:tc>
        <w:tc>
          <w:tcPr>
            <w:tcW w:type="dxa" w:w="3408"/>
            <w:shd w:fill="D9EAF7"/>
            <w:vAlign w:val="center"/>
          </w:tcPr>
          <w:p>
            <w:r>
              <w:rPr>
                <w:b/>
              </w:rPr>
              <w:t>Project demonstration</w:t>
            </w:r>
          </w:p>
        </w:tc>
        <w:tc>
          <w:tcPr>
            <w:tcW w:type="dxa" w:w="3408"/>
            <w:shd w:fill="D9EAF7"/>
            <w:vAlign w:val="center"/>
          </w:tcPr>
          <w:p>
            <w:r>
              <w:rPr>
                <w:b/>
              </w:rPr>
              <w:t>Purpose</w:t>
            </w:r>
          </w:p>
        </w:tc>
      </w:tr>
      <w:tr>
        <w:tc>
          <w:tcPr>
            <w:tcW w:type="dxa" w:w="3408"/>
            <w:vAlign w:val="center"/>
          </w:tcPr>
          <w:p>
            <w:r>
              <w:t>partition count</w:t>
            </w:r>
          </w:p>
        </w:tc>
        <w:tc>
          <w:tcPr>
            <w:tcW w:type="dxa" w:w="3408"/>
            <w:vAlign w:val="center"/>
          </w:tcPr>
          <w:p>
            <w:r>
              <w:t>getNumPartitions()</w:t>
            </w:r>
          </w:p>
        </w:tc>
        <w:tc>
          <w:tcPr>
            <w:tcW w:type="dxa" w:w="3408"/>
            <w:vAlign w:val="center"/>
          </w:tcPr>
          <w:p>
            <w:r>
              <w:t>Observe how data is divided across tasks.</w:t>
            </w:r>
          </w:p>
        </w:tc>
      </w:tr>
      <w:tr>
        <w:tc>
          <w:tcPr>
            <w:tcW w:type="dxa" w:w="3408"/>
            <w:vAlign w:val="center"/>
          </w:tcPr>
          <w:p>
            <w:r>
              <w:t>partitionBy(2)</w:t>
            </w:r>
          </w:p>
        </w:tc>
        <w:tc>
          <w:tcPr>
            <w:tcW w:type="dxa" w:w="3408"/>
            <w:vAlign w:val="center"/>
          </w:tcPr>
          <w:p>
            <w:r>
              <w:t>HashPartitioner(2)</w:t>
            </w:r>
          </w:p>
        </w:tc>
        <w:tc>
          <w:tcPr>
            <w:tcW w:type="dxa" w:w="3408"/>
            <w:vAlign w:val="center"/>
          </w:tcPr>
          <w:p>
            <w:r>
              <w:t>Explicitly partition a Pair RDD by key.</w:t>
            </w:r>
          </w:p>
        </w:tc>
      </w:tr>
      <w:tr>
        <w:tc>
          <w:tcPr>
            <w:tcW w:type="dxa" w:w="3408"/>
            <w:vAlign w:val="center"/>
          </w:tcPr>
          <w:p>
            <w:r>
              <w:t>repartition(4)</w:t>
            </w:r>
          </w:p>
        </w:tc>
        <w:tc>
          <w:tcPr>
            <w:tcW w:type="dxa" w:w="3408"/>
            <w:vAlign w:val="center"/>
          </w:tcPr>
          <w:p>
            <w:r>
              <w:t>DataFrame repartition</w:t>
            </w:r>
          </w:p>
        </w:tc>
        <w:tc>
          <w:tcPr>
            <w:tcW w:type="dxa" w:w="3408"/>
            <w:vAlign w:val="center"/>
          </w:tcPr>
          <w:p>
            <w:r>
              <w:t>Increase/change partitioning and redistribute records.</w:t>
            </w:r>
          </w:p>
        </w:tc>
      </w:tr>
      <w:tr>
        <w:tc>
          <w:tcPr>
            <w:tcW w:type="dxa" w:w="3408"/>
            <w:vAlign w:val="center"/>
          </w:tcPr>
          <w:p>
            <w:r>
              <w:t>coalesce(1)</w:t>
            </w:r>
          </w:p>
        </w:tc>
        <w:tc>
          <w:tcPr>
            <w:tcW w:type="dxa" w:w="3408"/>
            <w:vAlign w:val="center"/>
          </w:tcPr>
          <w:p>
            <w:r>
              <w:t>Reduce partitions to one</w:t>
            </w:r>
          </w:p>
        </w:tc>
        <w:tc>
          <w:tcPr>
            <w:tcW w:type="dxa" w:w="3408"/>
            <w:vAlign w:val="center"/>
          </w:tcPr>
          <w:p>
            <w:r>
              <w:t>Reduce small output file count without a full repartition.</w:t>
            </w:r>
          </w:p>
        </w:tc>
      </w:tr>
      <w:tr>
        <w:tc>
          <w:tcPr>
            <w:tcW w:type="dxa" w:w="3408"/>
            <w:vAlign w:val="center"/>
          </w:tcPr>
          <w:p>
            <w:r>
              <w:t>partitionBy("category")</w:t>
            </w:r>
          </w:p>
        </w:tc>
        <w:tc>
          <w:tcPr>
            <w:tcW w:type="dxa" w:w="3408"/>
            <w:vAlign w:val="center"/>
          </w:tcPr>
          <w:p>
            <w:r>
              <w:t>DataFrame output</w:t>
            </w:r>
          </w:p>
        </w:tc>
        <w:tc>
          <w:tcPr>
            <w:tcW w:type="dxa" w:w="3408"/>
            <w:vAlign w:val="center"/>
          </w:tcPr>
          <w:p>
            <w:r>
              <w:t>Create category-based directory layout.</w:t>
            </w:r>
          </w:p>
        </w:tc>
      </w:tr>
    </w:tbl>
    <w:p/>
    <w:p>
      <w:pPr>
        <w:pStyle w:val="Heading1"/>
      </w:pPr>
      <w:r>
        <w:t>13. Broadcast Variable</w:t>
      </w:r>
    </w:p>
    <w:p>
      <w:pPr>
        <w:spacing w:after="100"/>
      </w:pPr>
      <w:r>
        <w:t>The product master contains only five products in the sample and is read-only during the batch operation. The application converts it to a map and creates a Spark broadcast variable. Executors can then access product names, categories and reorder levels from the broadcast copy rather than receiving the same reference object repeatedly with task closures.</w:t>
      </w:r>
    </w:p>
    <w:p>
      <w:pPr>
        <w:pStyle w:val="CodeBlock"/>
        <w:spacing w:after="80"/>
        <w:ind w:left="360"/>
      </w:pPr>
      <w:r>
        <w:t>val productBroadcast = sc.broadcast(productMap)</w:t>
      </w:r>
    </w:p>
    <w:p>
      <w:pPr>
        <w:spacing w:after="100"/>
      </w:pPr>
      <w:r>
        <w:t>This is an appropriate broadcast use because the reference dataset is small. A very large dataset should not be blindly broadcast.</w:t>
      </w:r>
    </w:p>
    <w:p>
      <w:pPr>
        <w:pStyle w:val="Heading1"/>
      </w:pPr>
      <w:r>
        <w:t>14. Accumulator</w:t>
      </w:r>
    </w:p>
    <w:p>
      <w:pPr>
        <w:spacing w:after="100"/>
      </w:pPr>
      <w:r>
        <w:t>A long accumulator named Malformed Pharmacy Events counts invalid event records during parsing. The clean sample contains 18 valid events and the runtime reported 0 malformed or invalid events.</w:t>
      </w:r>
    </w:p>
    <w:p>
      <w:pPr>
        <w:pStyle w:val="CodeBlock"/>
        <w:spacing w:after="80"/>
        <w:ind w:left="360"/>
      </w:pPr>
      <w:r>
        <w:t>val malformedEventAccumulator =</w:t>
        <w:br/>
        <w:t xml:space="preserve">  sc.longAccumulator("Malformed Pharmacy Events")</w:t>
        <w:br/>
        <w:br/>
        <w:t>malformedEventAccumulator.add(1)</w:t>
      </w:r>
    </w:p>
    <w:p>
      <w:pPr>
        <w:spacing w:after="100"/>
      </w:pPr>
      <w:r>
        <w:t>Accumulators are intended for counters and similar aggregated metrics that are observed at the driver. They should not be used as a general mechanism for implementing business state.</w:t>
      </w:r>
    </w:p>
    <w:p>
      <w:pPr>
        <w:pStyle w:val="Heading1"/>
      </w:pPr>
      <w:r>
        <w:t>15. Cache / Persist</w:t>
      </w:r>
    </w:p>
    <w:p>
      <w:pPr>
        <w:spacing w:after="100"/>
      </w:pPr>
      <w:r>
        <w:t>The event RDD is reused in several downstream calculations, so it is persisted with MEMORY_ONLY. The final stock analysis DataFrame is also persisted because it is used for multiple actions and output operations. Persisting a reused dataset allows Spark to keep computed partitions and reduce repeated recomputation of the same lineage.</w:t>
      </w:r>
    </w:p>
    <w:p>
      <w:pPr>
        <w:pStyle w:val="CodeBlock"/>
        <w:spacing w:after="80"/>
        <w:ind w:left="360"/>
      </w:pPr>
      <w:r>
        <w:t>eventsRDD.persist(StorageLevel.MEMORY_ONLY)</w:t>
        <w:br/>
        <w:br/>
        <w:t>val cachedStockDF =</w:t>
        <w:br/>
        <w:t xml:space="preserve">  finalStockDF.persist(StorageLevel.MEMORY_ONLY)</w:t>
      </w:r>
    </w:p>
    <w:p>
      <w:pPr>
        <w:pStyle w:val="Heading1"/>
      </w:pPr>
      <w:r>
        <w:t>16. Repartition / Coalesce</w:t>
      </w:r>
    </w:p>
    <w:p>
      <w:pPr>
        <w:spacing w:after="100"/>
      </w:pPr>
      <w:r>
        <w:t>Phase 3 reported the original stock DataFrame partition count as 4, after repartition(4) as 4, and after coalesce(1) as 1. The point is not merely the count; it is the difference in intent.</w:t>
      </w:r>
    </w:p>
    <w:p>
      <w:pPr>
        <w:spacing w:after="100"/>
      </w:pPr>
      <w:r>
        <w:t>repartition is appropriate when a new distribution is desired and can involve a full shuffle. coalesce is useful for reducing partitions, especially before writing a small result, and usually avoids a complete reshuffle.</w:t>
      </w:r>
    </w:p>
    <w:p>
      <w:pPr>
        <w:pStyle w:val="Heading1"/>
      </w:pPr>
      <w:r>
        <w:t>17. Fault Tolerance and RDD Lineage</w:t>
      </w:r>
    </w:p>
    <w:p>
      <w:pPr>
        <w:spacing w:after="100"/>
      </w:pPr>
      <w:r>
        <w:t>RDDs are fault tolerant because Spark retains lineage describing how an RDD was derived from its parents. If a partition is lost, Spark can recompute the lost partition from the lineage rather than requiring the entire dataset to be reloaded from the application output.</w:t>
      </w:r>
    </w:p>
    <w:p>
      <w:pPr>
        <w:spacing w:after="100"/>
      </w:pPr>
      <w:r>
        <w:t>In this project, toDebugString showed the lineage from HadoopRDD/textFile through filter, flatMap, map and finally ShuffledRDD at reduceByKey. Cached partitions were also visible in the debug output. The streaming solution additionally uses checkpointing because stateful streaming needs persisted state and metadata for recovery.</w:t>
      </w:r>
    </w:p>
    <w:p>
      <w:pPr>
        <w:pStyle w:val="Heading1"/>
      </w:pPr>
      <w:r>
        <w:t>18. YARN Deployment Explanation</w:t>
      </w:r>
    </w:p>
    <w:p>
      <w:pPr>
        <w:spacing w:after="100"/>
      </w:pPr>
      <w:r>
        <w:t>The project is first executed in local mode with .master("local[*]") because the assessment asks for local Ubuntu verification. In a Hadoop environment, the same Spark application can be packaged and submitted to YARN so that YARN manages cluster resources and Spark runs the driver/executors according to the chosen deploy mode.</w:t>
      </w:r>
    </w:p>
    <w:p>
      <w:pPr>
        <w:pStyle w:val="CodeBlock"/>
        <w:spacing w:after="80"/>
        <w:ind w:left="360"/>
      </w:pPr>
      <w:r>
        <w:t>Example conceptual command:</w:t>
        <w:br/>
        <w:t>spark-submit \</w:t>
        <w:br/>
        <w:t xml:space="preserve">  --master yarn \</w:t>
        <w:br/>
        <w:t xml:space="preserve">  --deploy-mode client \</w:t>
        <w:br/>
        <w:t xml:space="preserve">  --class BatchProcessor \</w:t>
        <w:br/>
        <w:t xml:space="preserve">  target/scala-2.12/pharmacy-sales-stock-monitoring_2.12-1.0.jar</w:t>
      </w:r>
    </w:p>
    <w:p>
      <w:pPr>
        <w:spacing w:after="100"/>
      </w:pPr>
      <w:r>
        <w:t>The exact command depends on the installed Spark distribution, Hadoop/YARN configuration and how the application JAR is packaged. This project does not require a live YARN cluster for its local demonstration.</w:t>
      </w:r>
    </w:p>
    <w:p>
      <w:pPr>
        <w:pStyle w:val="Heading1"/>
      </w:pPr>
      <w:r>
        <w:t>19. Output Files and Sample Results</w:t>
      </w:r>
    </w:p>
    <w:p>
      <w:pPr>
        <w:spacing w:after="100"/>
      </w:pPr>
      <w:r>
        <w:t>Spark writes distributed output as directories containing part-* files and a _SUCCESS marker. This is expected Spark output behavior. Phase 2 output is under data/output/batch. Phase 3 output is under data/output/analysis. Streaming output is under data/output/streaming with timestamped stock-state and sales-window directories.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shd w:fill="D9EAF7"/>
            <w:vAlign w:val="center"/>
          </w:tcPr>
          <w:p>
            <w:r>
              <w:rPr>
                <w:b/>
              </w:rPr>
              <w:t>Product</w:t>
            </w:r>
          </w:p>
        </w:tc>
        <w:tc>
          <w:tcPr>
            <w:tcW w:type="dxa" w:w="1461"/>
            <w:shd w:fill="D9EAF7"/>
            <w:vAlign w:val="center"/>
          </w:tcPr>
          <w:p>
            <w:r>
              <w:rPr>
                <w:b/>
              </w:rPr>
              <w:t>Initial</w:t>
            </w:r>
          </w:p>
        </w:tc>
        <w:tc>
          <w:tcPr>
            <w:tcW w:type="dxa" w:w="1461"/>
            <w:shd w:fill="D9EAF7"/>
            <w:vAlign w:val="center"/>
          </w:tcPr>
          <w:p>
            <w:r>
              <w:rPr>
                <w:b/>
              </w:rPr>
              <w:t>Sold</w:t>
            </w:r>
          </w:p>
        </w:tc>
        <w:tc>
          <w:tcPr>
            <w:tcW w:type="dxa" w:w="1461"/>
            <w:shd w:fill="D9EAF7"/>
            <w:vAlign w:val="center"/>
          </w:tcPr>
          <w:p>
            <w:r>
              <w:rPr>
                <w:b/>
              </w:rPr>
              <w:t>Restocked</w:t>
            </w:r>
          </w:p>
        </w:tc>
        <w:tc>
          <w:tcPr>
            <w:tcW w:type="dxa" w:w="1461"/>
            <w:shd w:fill="D9EAF7"/>
            <w:vAlign w:val="center"/>
          </w:tcPr>
          <w:p>
            <w:r>
              <w:rPr>
                <w:b/>
              </w:rPr>
              <w:t>Current</w:t>
            </w:r>
          </w:p>
        </w:tc>
        <w:tc>
          <w:tcPr>
            <w:tcW w:type="dxa" w:w="1461"/>
            <w:shd w:fill="D9EAF7"/>
            <w:vAlign w:val="center"/>
          </w:tcPr>
          <w:p>
            <w:r>
              <w:rPr>
                <w:b/>
              </w:rPr>
              <w:t>Reorder</w:t>
            </w:r>
          </w:p>
        </w:tc>
        <w:tc>
          <w:tcPr>
            <w:tcW w:type="dxa" w:w="1461"/>
            <w:shd w:fill="D9EAF7"/>
            <w:vAlign w:val="center"/>
          </w:tcPr>
          <w:p>
            <w:r>
              <w:rPr>
                <w:b/>
              </w:rPr>
              <w:t>Status</w:t>
            </w:r>
          </w:p>
        </w:tc>
      </w:tr>
      <w:tr>
        <w:tc>
          <w:tcPr>
            <w:tcW w:type="dxa" w:w="1461"/>
            <w:vAlign w:val="center"/>
          </w:tcPr>
          <w:p>
            <w:r>
              <w:t>P001 Paracetamol 500mg</w:t>
            </w:r>
          </w:p>
        </w:tc>
        <w:tc>
          <w:tcPr>
            <w:tcW w:type="dxa" w:w="1461"/>
            <w:vAlign w:val="center"/>
          </w:tcPr>
          <w:p>
            <w:r>
              <w:t>100</w:t>
            </w:r>
          </w:p>
        </w:tc>
        <w:tc>
          <w:tcPr>
            <w:tcW w:type="dxa" w:w="1461"/>
            <w:vAlign w:val="center"/>
          </w:tcPr>
          <w:p>
            <w:r>
              <w:t>45</w:t>
            </w:r>
          </w:p>
        </w:tc>
        <w:tc>
          <w:tcPr>
            <w:tcW w:type="dxa" w:w="1461"/>
            <w:vAlign w:val="center"/>
          </w:tcPr>
          <w:p>
            <w:r>
              <w:t>20</w:t>
            </w:r>
          </w:p>
        </w:tc>
        <w:tc>
          <w:tcPr>
            <w:tcW w:type="dxa" w:w="1461"/>
            <w:vAlign w:val="center"/>
          </w:tcPr>
          <w:p>
            <w:r>
              <w:t>75</w:t>
            </w:r>
          </w:p>
        </w:tc>
        <w:tc>
          <w:tcPr>
            <w:tcW w:type="dxa" w:w="1461"/>
            <w:vAlign w:val="center"/>
          </w:tcPr>
          <w:p>
            <w:r>
              <w:t>30</w:t>
            </w:r>
          </w:p>
        </w:tc>
        <w:tc>
          <w:tcPr>
            <w:tcW w:type="dxa" w:w="1461"/>
            <w:vAlign w:val="center"/>
          </w:tcPr>
          <w:p>
            <w:r>
              <w:t>ADEQUATE</w:t>
            </w:r>
          </w:p>
        </w:tc>
      </w:tr>
      <w:tr>
        <w:tc>
          <w:tcPr>
            <w:tcW w:type="dxa" w:w="1461"/>
            <w:vAlign w:val="center"/>
          </w:tcPr>
          <w:p>
            <w:r>
              <w:t>P002 Amoxicillin 500mg</w:t>
            </w:r>
          </w:p>
        </w:tc>
        <w:tc>
          <w:tcPr>
            <w:tcW w:type="dxa" w:w="1461"/>
            <w:vAlign w:val="center"/>
          </w:tcPr>
          <w:p>
            <w:r>
              <w:t>60</w:t>
            </w:r>
          </w:p>
        </w:tc>
        <w:tc>
          <w:tcPr>
            <w:tcW w:type="dxa" w:w="1461"/>
            <w:vAlign w:val="center"/>
          </w:tcPr>
          <w:p>
            <w:r>
              <w:t>40</w:t>
            </w:r>
          </w:p>
        </w:tc>
        <w:tc>
          <w:tcPr>
            <w:tcW w:type="dxa" w:w="1461"/>
            <w:vAlign w:val="center"/>
          </w:tcPr>
          <w:p>
            <w:r>
              <w:t>10</w:t>
            </w:r>
          </w:p>
        </w:tc>
        <w:tc>
          <w:tcPr>
            <w:tcW w:type="dxa" w:w="1461"/>
            <w:vAlign w:val="center"/>
          </w:tcPr>
          <w:p>
            <w:r>
              <w:t>30</w:t>
            </w:r>
          </w:p>
        </w:tc>
        <w:tc>
          <w:tcPr>
            <w:tcW w:type="dxa" w:w="1461"/>
            <w:vAlign w:val="center"/>
          </w:tcPr>
          <w:p>
            <w:r>
              <w:t>25</w:t>
            </w:r>
          </w:p>
        </w:tc>
        <w:tc>
          <w:tcPr>
            <w:tcW w:type="dxa" w:w="1461"/>
            <w:vAlign w:val="center"/>
          </w:tcPr>
          <w:p>
            <w:r>
              <w:t>AT_RISK</w:t>
            </w:r>
          </w:p>
        </w:tc>
      </w:tr>
      <w:tr>
        <w:tc>
          <w:tcPr>
            <w:tcW w:type="dxa" w:w="1461"/>
            <w:vAlign w:val="center"/>
          </w:tcPr>
          <w:p>
            <w:r>
              <w:t>P003 Insulin 100IU</w:t>
            </w:r>
          </w:p>
        </w:tc>
        <w:tc>
          <w:tcPr>
            <w:tcW w:type="dxa" w:w="1461"/>
            <w:vAlign w:val="center"/>
          </w:tcPr>
          <w:p>
            <w:r>
              <w:t>40</w:t>
            </w:r>
          </w:p>
        </w:tc>
        <w:tc>
          <w:tcPr>
            <w:tcW w:type="dxa" w:w="1461"/>
            <w:vAlign w:val="center"/>
          </w:tcPr>
          <w:p>
            <w:r>
              <w:t>30</w:t>
            </w:r>
          </w:p>
        </w:tc>
        <w:tc>
          <w:tcPr>
            <w:tcW w:type="dxa" w:w="1461"/>
            <w:vAlign w:val="center"/>
          </w:tcPr>
          <w:p>
            <w:r>
              <w:t>5</w:t>
            </w:r>
          </w:p>
        </w:tc>
        <w:tc>
          <w:tcPr>
            <w:tcW w:type="dxa" w:w="1461"/>
            <w:vAlign w:val="center"/>
          </w:tcPr>
          <w:p>
            <w:r>
              <w:t>15</w:t>
            </w:r>
          </w:p>
        </w:tc>
        <w:tc>
          <w:tcPr>
            <w:tcW w:type="dxa" w:w="1461"/>
            <w:vAlign w:val="center"/>
          </w:tcPr>
          <w:p>
            <w:r>
              <w:t>15</w:t>
            </w:r>
          </w:p>
        </w:tc>
        <w:tc>
          <w:tcPr>
            <w:tcW w:type="dxa" w:w="1461"/>
            <w:vAlign w:val="center"/>
          </w:tcPr>
          <w:p>
            <w:r>
              <w:t>AT_RISK</w:t>
            </w:r>
          </w:p>
        </w:tc>
      </w:tr>
      <w:tr>
        <w:tc>
          <w:tcPr>
            <w:tcW w:type="dxa" w:w="1461"/>
            <w:vAlign w:val="center"/>
          </w:tcPr>
          <w:p>
            <w:r>
              <w:t>P004 Cough Syrup</w:t>
            </w:r>
          </w:p>
        </w:tc>
        <w:tc>
          <w:tcPr>
            <w:tcW w:type="dxa" w:w="1461"/>
            <w:vAlign w:val="center"/>
          </w:tcPr>
          <w:p>
            <w:r>
              <w:t>50</w:t>
            </w:r>
          </w:p>
        </w:tc>
        <w:tc>
          <w:tcPr>
            <w:tcW w:type="dxa" w:w="1461"/>
            <w:vAlign w:val="center"/>
          </w:tcPr>
          <w:p>
            <w:r>
              <w:t>55</w:t>
            </w:r>
          </w:p>
        </w:tc>
        <w:tc>
          <w:tcPr>
            <w:tcW w:type="dxa" w:w="1461"/>
            <w:vAlign w:val="center"/>
          </w:tcPr>
          <w:p>
            <w:r>
              <w:t>0</w:t>
            </w:r>
          </w:p>
        </w:tc>
        <w:tc>
          <w:tcPr>
            <w:tcW w:type="dxa" w:w="1461"/>
            <w:vAlign w:val="center"/>
          </w:tcPr>
          <w:p>
            <w:r>
              <w:t>-5</w:t>
            </w:r>
          </w:p>
        </w:tc>
        <w:tc>
          <w:tcPr>
            <w:tcW w:type="dxa" w:w="1461"/>
            <w:vAlign w:val="center"/>
          </w:tcPr>
          <w:p>
            <w:r>
              <w:t>20</w:t>
            </w:r>
          </w:p>
        </w:tc>
        <w:tc>
          <w:tcPr>
            <w:tcW w:type="dxa" w:w="1461"/>
            <w:vAlign w:val="center"/>
          </w:tcPr>
          <w:p>
            <w:r>
              <w:t>STOCK_OUT</w:t>
            </w:r>
          </w:p>
        </w:tc>
      </w:tr>
      <w:tr>
        <w:tc>
          <w:tcPr>
            <w:tcW w:type="dxa" w:w="1461"/>
            <w:vAlign w:val="center"/>
          </w:tcPr>
          <w:p>
            <w:r>
              <w:t>P005 Vitamin C 500mg</w:t>
            </w:r>
          </w:p>
        </w:tc>
        <w:tc>
          <w:tcPr>
            <w:tcW w:type="dxa" w:w="1461"/>
            <w:vAlign w:val="center"/>
          </w:tcPr>
          <w:p>
            <w:r>
              <w:t>80</w:t>
            </w:r>
          </w:p>
        </w:tc>
        <w:tc>
          <w:tcPr>
            <w:tcW w:type="dxa" w:w="1461"/>
            <w:vAlign w:val="center"/>
          </w:tcPr>
          <w:p>
            <w:r>
              <w:t>30</w:t>
            </w:r>
          </w:p>
        </w:tc>
        <w:tc>
          <w:tcPr>
            <w:tcW w:type="dxa" w:w="1461"/>
            <w:vAlign w:val="center"/>
          </w:tcPr>
          <w:p>
            <w:r>
              <w:t>30</w:t>
            </w:r>
          </w:p>
        </w:tc>
        <w:tc>
          <w:tcPr>
            <w:tcW w:type="dxa" w:w="1461"/>
            <w:vAlign w:val="center"/>
          </w:tcPr>
          <w:p>
            <w:r>
              <w:t>80</w:t>
            </w:r>
          </w:p>
        </w:tc>
        <w:tc>
          <w:tcPr>
            <w:tcW w:type="dxa" w:w="1461"/>
            <w:vAlign w:val="center"/>
          </w:tcPr>
          <w:p>
            <w:r>
              <w:t>25</w:t>
            </w:r>
          </w:p>
        </w:tc>
        <w:tc>
          <w:tcPr>
            <w:tcW w:type="dxa" w:w="1461"/>
            <w:vAlign w:val="center"/>
          </w:tcPr>
          <w:p>
            <w:r>
              <w:t>ADEQUATE</w:t>
            </w:r>
          </w:p>
        </w:tc>
      </w:tr>
    </w:tbl>
    <w:p/>
    <w:p>
      <w:pPr>
        <w:spacing w:after="100"/>
      </w:pPr>
      <w:r>
        <w:t>Verified Phase 3 outputs include SQL sales, stock analysis, recent-sales window results, partitioned event output, repartitioned stock output, coalesced stock output, and category-partitioned stock output. The category-partitioned output created directories such as category=Analgesic, category=Antibiotic, category=Diabetes, category=Cold and Cough and category=Vitamins.</w:t>
      </w:r>
    </w:p>
    <w:p>
      <w:pPr>
        <w:pStyle w:val="Heading1"/>
      </w:pPr>
      <w:r>
        <w:t>20. How to Run the Complete Project</w:t>
      </w:r>
    </w:p>
    <w:p>
      <w:pPr>
        <w:spacing w:after="100"/>
      </w:pPr>
      <w:r>
        <w:t>All commands below are intended for the Ubuntu / WSL2 project directory.</w:t>
      </w:r>
    </w:p>
    <w:p>
      <w:pPr>
        <w:pStyle w:val="CodeBlock"/>
        <w:spacing w:after="80"/>
        <w:ind w:left="360"/>
      </w:pPr>
      <w:r>
        <w:t>cd ~/spark-mini-project</w:t>
        <w:br/>
        <w:br/>
        <w:t># Clean compile</w:t>
        <w:br/>
        <w:t>sbt clean compile</w:t>
        <w:br/>
        <w:br/>
        <w:t># Run batch + Phase 3 analysis</w:t>
        <w:br/>
        <w:t>sbt run</w:t>
        <w:br/>
        <w:br/>
        <w:t># Start DStreams streaming</w:t>
        <w:br/>
        <w:t>sbt "runMain StreamingProcessor"</w:t>
      </w:r>
    </w:p>
    <w:p>
      <w:pPr>
        <w:spacing w:after="100"/>
      </w:pPr>
      <w:r>
        <w:t>For streaming, start the DStreams process first. In another terminal, copy NEW CSV files into data/streaming/input. The program checks the directory using a 5-second micro-batch interval.</w:t>
      </w:r>
    </w:p>
    <w:p>
      <w:pPr>
        <w:pStyle w:val="CodeBlock"/>
        <w:spacing w:after="80"/>
        <w:ind w:left="360"/>
      </w:pPr>
      <w:r>
        <w:t># Terminal 2</w:t>
        <w:br/>
        <w:t>cd ~/spark-mini-project</w:t>
        <w:br/>
        <w:t>cp data/streaming/sample/stream_batch_01.csv data/streaming/input/</w:t>
        <w:br/>
        <w:t>cp data/streaming/sample/stream_batch_02.csv data/streaming/input/</w:t>
        <w:br/>
        <w:br/>
        <w:t># Observe outputs</w:t>
        <w:br/>
        <w:t>find data/output/streaming -maxdepth 2 -type f | sort</w:t>
        <w:br/>
        <w:br/>
        <w:t># Stop streaming in Terminal 1</w:t>
        <w:br/>
        <w:t>Ctrl+C</w:t>
      </w:r>
    </w:p>
    <w:p>
      <w:pPr>
        <w:spacing w:after="100"/>
      </w:pPr>
      <w:r>
        <w:t>Before a clean first streaming demonstration, remove only the old test checkpoint/output directories if you intentionally want a fresh run:</w:t>
      </w:r>
    </w:p>
    <w:p>
      <w:pPr>
        <w:pStyle w:val="CodeBlock"/>
        <w:spacing w:after="80"/>
        <w:ind w:left="360"/>
      </w:pPr>
      <w:r>
        <w:t>rm -rf data/streaming/checkpoint/*</w:t>
        <w:br/>
        <w:t>rm -rf data/output/streaming/*</w:t>
      </w:r>
    </w:p>
    <w:p>
      <w:pPr>
        <w:pStyle w:val="Heading1"/>
      </w:pPr>
      <w:r>
        <w:t>21. Conclusion</w:t>
      </w:r>
    </w:p>
    <w:p>
      <w:pPr>
        <w:spacing w:after="100"/>
      </w:pPr>
      <w:r>
        <w:t>The completed project provides a compact but complete academic example of pharmacy sales and stock monitoring using Apache Spark. The batch application demonstrates RDDs, Pair RDDs, reduceByKey, mapValues, broadcast variables, stock balance calculation, sales rate and stock alerts. The analysis extension demonstrates DataFrames, Datasets, Spark SQL, joins, aggregations, window functions, UDFs, accumulators, persistence and partition operations. The streaming application demonstrates DStreams, micro-batches, stateful stock processing, sliding windows and checkpointing.</w:t>
      </w:r>
    </w:p>
    <w:p>
      <w:pPr>
        <w:spacing w:after="100"/>
      </w:pPr>
      <w:r>
        <w:t>The solution remains intentionally small and explainable. It uses static CSV files and local processing so the logic can be demonstrated directly in an Ubuntu terminal and then discussed in a viva or extended to a YARN cluster later.</w:t>
      </w:r>
    </w:p>
    <w:p>
      <w:pPr>
        <w:pStyle w:val="Heading1"/>
      </w:pPr>
      <w:r>
        <w:t>Appendix A. Final Verification Evidence</w:t>
      </w:r>
    </w:p>
    <w:p>
      <w:pPr>
        <w:spacing w:after="100"/>
      </w:pPr>
      <w:r>
        <w:t>The supplied terminal verification shows that the final local project compiled successfully and that the required processing stages executed.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Verification</w:t>
            </w:r>
          </w:p>
        </w:tc>
        <w:tc>
          <w:tcPr>
            <w:tcW w:type="dxa" w:w="5112"/>
            <w:shd w:fill="D9EAF7"/>
            <w:vAlign w:val="center"/>
          </w:tcPr>
          <w:p>
            <w:r>
              <w:rPr>
                <w:b/>
              </w:rPr>
              <w:t>Observed result</w:t>
            </w:r>
          </w:p>
        </w:tc>
      </w:tr>
      <w:tr>
        <w:tc>
          <w:tcPr>
            <w:tcW w:type="dxa" w:w="5112"/>
            <w:vAlign w:val="center"/>
          </w:tcPr>
          <w:p>
            <w:r>
              <w:t>Compilation</w:t>
            </w:r>
          </w:p>
        </w:tc>
        <w:tc>
          <w:tcPr>
            <w:tcW w:type="dxa" w:w="5112"/>
            <w:vAlign w:val="center"/>
          </w:tcPr>
          <w:p>
            <w:r>
              <w:t>4 Scala sources compiled successfully; one Spark 3.4+ deprecation warning was reported.</w:t>
            </w:r>
          </w:p>
        </w:tc>
      </w:tr>
      <w:tr>
        <w:tc>
          <w:tcPr>
            <w:tcW w:type="dxa" w:w="5112"/>
            <w:vAlign w:val="center"/>
          </w:tcPr>
          <w:p>
            <w:r>
              <w:t>Batch processing</w:t>
            </w:r>
          </w:p>
        </w:tc>
        <w:tc>
          <w:tcPr>
            <w:tcW w:type="dxa" w:w="5112"/>
            <w:vAlign w:val="center"/>
          </w:tcPr>
          <w:p>
            <w:r>
              <w:t>Completed successfully with correct sales, stock, alerts, rates and partition information.</w:t>
            </w:r>
          </w:p>
        </w:tc>
      </w:tr>
      <w:tr>
        <w:tc>
          <w:tcPr>
            <w:tcW w:type="dxa" w:w="5112"/>
            <w:vAlign w:val="center"/>
          </w:tcPr>
          <w:p>
            <w:r>
              <w:t>DataFrame / Dataset / SQL</w:t>
            </w:r>
          </w:p>
        </w:tc>
        <w:tc>
          <w:tcPr>
            <w:tcW w:type="dxa" w:w="5112"/>
            <w:vAlign w:val="center"/>
          </w:tcPr>
          <w:p>
            <w:r>
              <w:t>Dataset count 18; SQL sales and joined stock analysis executed successfully.</w:t>
            </w:r>
          </w:p>
        </w:tc>
      </w:tr>
      <w:tr>
        <w:tc>
          <w:tcPr>
            <w:tcW w:type="dxa" w:w="5112"/>
            <w:vAlign w:val="center"/>
          </w:tcPr>
          <w:p>
            <w:r>
              <w:t>UDF</w:t>
            </w:r>
          </w:p>
        </w:tc>
        <w:tc>
          <w:tcPr>
            <w:tcW w:type="dxa" w:w="5112"/>
            <w:vAlign w:val="center"/>
          </w:tcPr>
          <w:p>
            <w:r>
              <w:t>Produced ADEQUATE / AT_RISK / STOCK_OUT classifications matching expected stock.</w:t>
            </w:r>
          </w:p>
        </w:tc>
      </w:tr>
      <w:tr>
        <w:tc>
          <w:tcPr>
            <w:tcW w:type="dxa" w:w="5112"/>
            <w:vAlign w:val="center"/>
          </w:tcPr>
          <w:p>
            <w:r>
              <w:t>Window function</w:t>
            </w:r>
          </w:p>
        </w:tc>
        <w:tc>
          <w:tcPr>
            <w:tcW w:type="dxa" w:w="5112"/>
            <w:vAlign w:val="center"/>
          </w:tcPr>
          <w:p>
            <w:r>
              <w:t>Recent three-sale quantities and averages were produced.</w:t>
            </w:r>
          </w:p>
        </w:tc>
      </w:tr>
      <w:tr>
        <w:tc>
          <w:tcPr>
            <w:tcW w:type="dxa" w:w="5112"/>
            <w:vAlign w:val="center"/>
          </w:tcPr>
          <w:p>
            <w:r>
              <w:t>Accumulator</w:t>
            </w:r>
          </w:p>
        </w:tc>
        <w:tc>
          <w:tcPr>
            <w:tcW w:type="dxa" w:w="5112"/>
            <w:vAlign w:val="center"/>
          </w:tcPr>
          <w:p>
            <w:r>
              <w:t>0 malformed/invalid events for supplied clean dataset.</w:t>
            </w:r>
          </w:p>
        </w:tc>
      </w:tr>
      <w:tr>
        <w:tc>
          <w:tcPr>
            <w:tcW w:type="dxa" w:w="5112"/>
            <w:vAlign w:val="center"/>
          </w:tcPr>
          <w:p>
            <w:r>
              <w:t>Partitioning</w:t>
            </w:r>
          </w:p>
        </w:tc>
        <w:tc>
          <w:tcPr>
            <w:tcW w:type="dxa" w:w="5112"/>
            <w:vAlign w:val="center"/>
          </w:tcPr>
          <w:p>
            <w:r>
              <w:t>partitionBy(2)=2; repartition(4)=4; coalesce(1)=1; mapValues preserved partitioner.</w:t>
            </w:r>
          </w:p>
        </w:tc>
      </w:tr>
      <w:tr>
        <w:tc>
          <w:tcPr>
            <w:tcW w:type="dxa" w:w="5112"/>
            <w:vAlign w:val="center"/>
          </w:tcPr>
          <w:p>
            <w:r>
              <w:t>RDD lineage</w:t>
            </w:r>
          </w:p>
        </w:tc>
        <w:tc>
          <w:tcPr>
            <w:tcW w:type="dxa" w:w="5112"/>
            <w:vAlign w:val="center"/>
          </w:tcPr>
          <w:p>
            <w:r>
              <w:t>ShuffledRDD from reduceByKey was visible in toDebugString.</w:t>
            </w:r>
          </w:p>
        </w:tc>
      </w:tr>
      <w:tr>
        <w:tc>
          <w:tcPr>
            <w:tcW w:type="dxa" w:w="5112"/>
            <w:vAlign w:val="center"/>
          </w:tcPr>
          <w:p>
            <w:r>
              <w:t>Output layout</w:t>
            </w:r>
          </w:p>
        </w:tc>
        <w:tc>
          <w:tcPr>
            <w:tcW w:type="dxa" w:w="5112"/>
            <w:vAlign w:val="center"/>
          </w:tcPr>
          <w:p>
            <w:r>
              <w:t>Batch, analysis and streaming output files/directories were created.</w:t>
            </w:r>
          </w:p>
        </w:tc>
      </w:tr>
      <w:tr>
        <w:tc>
          <w:tcPr>
            <w:tcW w:type="dxa" w:w="5112"/>
            <w:vAlign w:val="center"/>
          </w:tcPr>
          <w:p>
            <w:r>
              <w:t>DStreams</w:t>
            </w:r>
          </w:p>
        </w:tc>
        <w:tc>
          <w:tcPr>
            <w:tcW w:type="dxa" w:w="5112"/>
            <w:vAlign w:val="center"/>
          </w:tcPr>
          <w:p>
            <w:r>
              <w:t>Application started, processed multiple micro-batches, maintained stock state and produced sliding-window outputs.</w:t>
            </w:r>
          </w:p>
        </w:tc>
      </w:tr>
    </w:tbl>
    <w:p/>
    <w:p>
      <w:pPr>
        <w:spacing w:after="100"/>
      </w:pPr>
      <w:r>
        <w:t>The runtime logs also show Spark 3.5.9, Java 17.0.20 and Linux/WSL2 as the execution environment.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Pharmacy Sales and Stock Monitoring | Final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