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jc w:val="left"/>
      </w:pPr>
      <w:r>
        <w:rPr>
          <w:rFonts w:ascii="Arial" w:cs="Arial" w:eastAsia="Arial" w:hAnsi="Arial"/>
          <w:b w:val="false"/>
          <w:bCs w:val="false"/>
          <w:i/>
          <w:iCs/>
          <w:sz w:val="22"/>
          <w:szCs w:val="22"/>
        </w:rPr>
        <w:t xml:space="preserve">Registry Forge — ALS TDI / Boyce Lab</w:t>
      </w:r>
    </w:p>
    <w:p>
      <w:pPr>
        <w:spacing w:after="120" w:line="276"/>
        <w:jc w:val="left"/>
      </w:pPr>
      <w:r>
        <w:rPr>
          <w:rFonts w:ascii="Arial" w:cs="Arial" w:eastAsia="Arial" w:hAnsi="Arial"/>
          <w:b/>
          <w:bCs/>
          <w:i w:val="false"/>
          <w:iCs w:val="false"/>
          <w:sz w:val="22"/>
          <w:szCs w:val="22"/>
        </w:rPr>
        <w:t xml:space="preserve">ALS THERAPY DEVELOPMENT INSTITUTE</w:t>
      </w:r>
    </w:p>
    <w:p>
      <w:pPr>
        <w:spacing w:after="120" w:line="276"/>
        <w:jc w:val="left"/>
      </w:pPr>
      <w:r>
        <w:rPr>
          <w:rFonts w:ascii="Arial" w:cs="Arial" w:eastAsia="Arial" w:hAnsi="Arial"/>
          <w:sz w:val="22"/>
          <w:szCs w:val="22"/>
        </w:rPr>
        <w:t xml:space="preserve">BRIEF COMMUNICATION — METHODS</w:t>
      </w:r>
    </w:p>
    <w:p>
      <w:pPr>
        <w:spacing w:after="120" w:line="276"/>
        <w:jc w:val="left"/>
      </w:pPr>
      <w:r>
        <w:rPr>
          <w:rFonts w:ascii="Arial" w:cs="Arial" w:eastAsia="Arial" w:hAnsi="Arial"/>
          <w:b/>
          <w:bCs/>
          <w:i w:val="false"/>
          <w:iCs w:val="false"/>
          <w:sz w:val="22"/>
          <w:szCs w:val="22"/>
        </w:rPr>
        <w:t xml:space="preserve">Registry Forge: An Open-Source End-to-End Pipeline for Patient-Directed SMART on FHIR Registries, with OMOP Common Data Model and GA4GH Phenopackets Output, Regex-Based Recovery of Unstructured Clinical Content, and an Integrated Quality Control Framework</w:t>
      </w:r>
    </w:p>
    <w:p>
      <w:pPr>
        <w:spacing w:after="120" w:line="276"/>
        <w:jc w:val="left"/>
      </w:pPr>
      <w:r>
        <w:rPr>
          <w:rFonts w:ascii="Arial" w:cs="Arial" w:eastAsia="Arial" w:hAnsi="Arial"/>
          <w:b w:val="false"/>
          <w:bCs w:val="false"/>
          <w:i/>
          <w:iCs/>
          <w:sz w:val="22"/>
          <w:szCs w:val="22"/>
        </w:rPr>
        <w:t xml:space="preserve">[Author One], [Author Two], [Author Three]</w:t>
      </w:r>
    </w:p>
    <w:p>
      <w:pPr>
        <w:spacing w:after="120" w:line="276"/>
        <w:jc w:val="left"/>
      </w:pPr>
      <w:r>
        <w:rPr>
          <w:rFonts w:ascii="Arial" w:cs="Arial" w:eastAsia="Arial" w:hAnsi="Arial"/>
          <w:sz w:val="22"/>
          <w:szCs w:val="22"/>
        </w:rPr>
        <w:t xml:space="preserve">ALS Therapy Development Institute, 480 Arsenal Street, Suite 201, Watertown, MA 02472</w:t>
      </w:r>
    </w:p>
    <w:p>
      <w:pPr>
        <w:spacing w:after="120" w:line="276"/>
        <w:jc w:val="left"/>
      </w:pPr>
      <w:r>
        <w:rPr>
          <w:rFonts w:ascii="Arial" w:cs="Arial" w:eastAsia="Arial" w:hAnsi="Arial"/>
          <w:b/>
          <w:bCs/>
          <w:i w:val="false"/>
          <w:iCs w:val="false"/>
          <w:sz w:val="22"/>
          <w:szCs w:val="22"/>
        </w:rPr>
        <w:t xml:space="preserve">Correspondence: </w:t>
      </w:r>
      <w:r>
        <w:rPr>
          <w:rFonts w:ascii="Arial" w:cs="Arial" w:eastAsia="Arial" w:hAnsi="Arial"/>
          <w:b w:val="false"/>
          <w:bCs w:val="false"/>
          <w:i w:val="false"/>
          <w:iCs w:val="false"/>
          <w:sz w:val="22"/>
          <w:szCs w:val="22"/>
        </w:rPr>
        <w:t xml:space="preserve">[author email] · ALS Therapy Development Institute</w:t>
      </w:r>
    </w:p>
    <w:p>
      <w:pPr>
        <w:spacing w:after="120" w:line="276"/>
        <w:jc w:val="left"/>
      </w:pPr>
      <w:r>
        <w:rPr>
          <w:rFonts w:ascii="Arial" w:cs="Arial" w:eastAsia="Arial" w:hAnsi="Arial"/>
          <w:b w:val="false"/>
          <w:bCs w:val="false"/>
          <w:i/>
          <w:iCs/>
          <w:sz w:val="22"/>
          <w:szCs w:val="22"/>
        </w:rPr>
        <w:t xml:space="preserve">Word count: ~6,400 (main text)  |  Figures: 6  |  Tables: 5  |  References: 28</w:t>
      </w:r>
    </w:p>
    <w:p>
      <w:pPr>
        <w:spacing w:after="120" w:line="276"/>
        <w:jc w:val="left"/>
      </w:pPr>
      <w:r>
        <w:rPr>
          <w:rFonts w:ascii="Arial" w:cs="Arial" w:eastAsia="Arial" w:hAnsi="Arial"/>
          <w:b/>
          <w:bCs/>
          <w:i w:val="false"/>
          <w:iCs w:val="false"/>
          <w:sz w:val="22"/>
          <w:szCs w:val="22"/>
        </w:rPr>
        <w:t xml:space="preserve">Keywords: </w:t>
      </w:r>
      <w:r>
        <w:rPr>
          <w:rFonts w:ascii="Arial" w:cs="Arial" w:eastAsia="Arial" w:hAnsi="Arial"/>
          <w:b w:val="false"/>
          <w:bCs w:val="false"/>
          <w:i w:val="false"/>
          <w:iCs w:val="false"/>
          <w:sz w:val="22"/>
          <w:szCs w:val="22"/>
        </w:rPr>
        <w:t xml:space="preserve">Registry Forge; SMART on FHIR; OAuth 2.0; patient-directed data sharing; patient registries; clinical document architecture (C-CDA); electronic health records; data integration; ETL; OMOP; common data model; Phenopackets; GA4GH; HPO; Mondo; quality control; ALSFRS-R; clinical NLP; amyotrophic lateral sclerosis; epilepsy; autoimmune disease; reproducible research</w:t>
      </w:r>
    </w:p>
    <w:p>
      <w:pPr>
        <w:spacing w:after="120" w:line="276"/>
        <w:jc w:val="left"/>
      </w:pPr>
      <w:r>
        <w:rPr>
          <w:rFonts w:ascii="Arial" w:cs="Arial" w:eastAsia="Arial" w:hAnsi="Arial"/>
          <w:b/>
          <w:bCs/>
          <w:i w:val="false"/>
          <w:iCs w:val="false"/>
          <w:sz w:val="22"/>
          <w:szCs w:val="22"/>
        </w:rPr>
        <w:t xml:space="preserve">ABSTRACT</w:t>
      </w:r>
    </w:p>
    <w:p>
      <w:pPr>
        <w:spacing w:after="120" w:line="276"/>
        <w:jc w:val="left"/>
      </w:pPr>
      <w:r>
        <w:rPr>
          <w:rFonts w:ascii="Arial" w:cs="Arial" w:eastAsia="Arial" w:hAnsi="Arial"/>
          <w:b/>
          <w:bCs/>
          <w:i w:val="false"/>
          <w:iCs w:val="false"/>
          <w:sz w:val="22"/>
          <w:szCs w:val="22"/>
        </w:rPr>
        <w:t xml:space="preserve">Objective. </w:t>
      </w:r>
      <w:r>
        <w:rPr>
          <w:rFonts w:ascii="Arial" w:cs="Arial" w:eastAsia="Arial" w:hAnsi="Arial"/>
          <w:b w:val="false"/>
          <w:bCs w:val="false"/>
          <w:i w:val="false"/>
          <w:iCs w:val="false"/>
          <w:sz w:val="22"/>
          <w:szCs w:val="22"/>
        </w:rPr>
        <w:t xml:space="preserve">Patient registries increasingly acquire electronic health record (EHR) data through patient-directed SMART on FHIR connections authorized via OAuth 2.0, in which participants log in to their patient portals and authorize a registry application to retrieve records on their behalf. Registries without in-house data analytics capacity face a substantial gap between data acquisition and useful integrated records. We describe a low-resource, end-to-end pipeline that closes this gap, applied to the ALS Research Collaborative (ARC) Study natural-history dataset.</w:t>
      </w:r>
    </w:p>
    <w:p>
      <w:pPr>
        <w:spacing w:after="120" w:line="276"/>
        <w:jc w:val="left"/>
      </w:pPr>
      <w:r>
        <w:rPr>
          <w:rFonts w:ascii="Arial" w:cs="Arial" w:eastAsia="Arial" w:hAnsi="Arial"/>
          <w:b/>
          <w:bCs/>
          <w:i w:val="false"/>
          <w:iCs w:val="false"/>
          <w:sz w:val="22"/>
          <w:szCs w:val="22"/>
        </w:rPr>
        <w:t xml:space="preserve">Materials and Methods. </w:t>
      </w:r>
      <w:r>
        <w:rPr>
          <w:rFonts w:ascii="Arial" w:cs="Arial" w:eastAsia="Arial" w:hAnsi="Arial"/>
          <w:b w:val="false"/>
          <w:bCs w:val="false"/>
          <w:i w:val="false"/>
          <w:iCs w:val="false"/>
          <w:sz w:val="22"/>
          <w:szCs w:val="22"/>
        </w:rPr>
        <w:t xml:space="preserve">ARC participants authorize ALS TDI through a SMART on FHIR OAuth 2.0 flow analogous to that used by consumer registry platforms including Apple Health Records and CareEvolution’s MyDataHelps. Authorized requests retrieve a mixture of patient-summary documents (Continuity of Care Documents, C-CDA) and discrete FHIR resources from each participant’s source EHR. Source files (n = 22,686) and FHIR Bundles (n = 1,791) were processed through Registry Forge, a single-file Python pipeline of seven stages: (1) chunk reassembly with double-base64 decoding; (2) magic-byte format detection routing each artifact to a format-specific parser (XML for C-CDA, regex-based RTF stripping for Epic notes, pypdf for PDFs, HTML tag stripping for fragments); (3) FHIR Bundle parsing across 13 resource types with code-system-aware code walking; (4) joining via a patient identifier bridge derived from the patient-import audit table; (5) post-hoc display-name enrichment using a built-in lookup of common LOINC and SNOMED codes; (6) configuration-driven filtering of test or non-clinical records; and (7) production of a code inventory CSV listing every (vocabulary, code) pair encountered, with reference and unique-patient counts and the bundle categories each code appears in. Three downstream modules consume the resulting bundle: an OMOP CDM v5.4 ETL that maps every source code to its standard concept via Athena CONCEPT_RELATIONSHIP “Maps to” and routes records by domain of standard concept into nine CDM tables; a regex note extraction module that recovers ALS-specific content from free-text narratives (ALSFRS-R subscores, ECAS scores, El Escorial classification, family history, genetic mutations, treatment milestones) and is currently treated as a demonstration of capability rather than production output; and a GA4GH Phenopackets v2 ETL whose primary path is fully driven by the structured codes already present in the EHR feed (ICD-10-CM and SNOMED CT problems mapped to HPO and Mondo using hand-curated seed tables for ALS, epilepsy, and autoimmune disease, supplemented optionally by Athena vocabulary auto-mapping; LOINC labs and vitals as Measurements; RxNorm medications and SNOMED/CPT-4 procedures as MedicalActions), with optional extensions for note-derived content (clearly tagged as a demonstration layer) and for variant findings curated outside the EHR pipeline via an external_genetics_csv parameter. All three downstream modules tag their output folders with vocabulary release versions for reproducibility. A five-tier quality control framework (schema validation, mapping coverage tracking, cross-output consistency checks, periodic clinician spot-review, and synthetic-cohort regression testing) accompanies the pipeline.</w:t>
      </w:r>
    </w:p>
    <w:p>
      <w:pPr>
        <w:spacing w:after="120" w:line="276"/>
        <w:jc w:val="left"/>
      </w:pPr>
      <w:r>
        <w:rPr>
          <w:rFonts w:ascii="Arial" w:cs="Arial" w:eastAsia="Arial" w:hAnsi="Arial"/>
          <w:b/>
          <w:bCs/>
          <w:i w:val="false"/>
          <w:iCs w:val="false"/>
          <w:sz w:val="22"/>
          <w:szCs w:val="22"/>
        </w:rPr>
        <w:t xml:space="preserve">Results. </w:t>
      </w:r>
      <w:r>
        <w:rPr>
          <w:rFonts w:ascii="Arial" w:cs="Arial" w:eastAsia="Arial" w:hAnsi="Arial"/>
          <w:b w:val="false"/>
          <w:bCs w:val="false"/>
          <w:i w:val="false"/>
          <w:iCs w:val="false"/>
          <w:sz w:val="22"/>
          <w:szCs w:val="22"/>
        </w:rPr>
        <w:t xml:space="preserve">The pipeline successfully processed all 22,686 source files (3,407 C-CDAs, 10,975 HTML fragments, 7,784 Epic RTF notes, 520 PDFs) and 1,791 FHIR Bundles containing 109,599 resources from multiple US health systems. Of FHIR resources, 98.6% were linked to a canonical patient identifier after locating the correct mapping table. Display-name enrichment populated 23,261 previously unlabeled LOINC observations, raising Labs/Observations coverage from 68.0% to 88.5%. The Stage 7 code inventory enumerated several thousand unique (vocabulary, code) pairs across SNOMED CT, ICD-10-CM, RxNorm, LOINC, CVX, and CPT-4. The OMOP ETL successfully populated PERSON, VISIT_OCCURRENCE, CONDITION_OCCURRENCE, DRUG_EXPOSURE, PROCEDURE_OCCURRENCE, MEASUREMENT, OBSERVATION, OBSERVATION_PERIOD, and CDM_SOURCE tables; CDM_SOURCE recorded the exact vocabulary versions used (e.g. SNOMED CT International Edition 2024-09-01, RxNorm Full 20240603), and the output folder name was tagged with the SNOMED release date so successive Athena pulls do not overwrite each other. Regex-based note extraction recovered ALSFRS-R total and subdomain scores, ECAS results, El Escorial classification, family history of ALS/MND/FTD, presence or absence of ALS-associated genetic mutations (C9orf72, SOD1, etc.), site of onset, FVC percent-predicted, and dated treatment milestones (PEG placement, NIV initiation, riluzole and edaravone start dates) with high recall on the synthetic demonstration cohort.</w:t>
      </w:r>
    </w:p>
    <w:p>
      <w:pPr>
        <w:spacing w:after="120" w:line="276"/>
        <w:jc w:val="left"/>
      </w:pPr>
      <w:r>
        <w:rPr>
          <w:rFonts w:ascii="Arial" w:cs="Arial" w:eastAsia="Arial" w:hAnsi="Arial"/>
          <w:b/>
          <w:bCs/>
          <w:i w:val="false"/>
          <w:iCs w:val="false"/>
          <w:sz w:val="22"/>
          <w:szCs w:val="22"/>
        </w:rPr>
        <w:t xml:space="preserve">Discussion. </w:t>
      </w:r>
      <w:r>
        <w:rPr>
          <w:rFonts w:ascii="Arial" w:cs="Arial" w:eastAsia="Arial" w:hAnsi="Arial"/>
          <w:b w:val="false"/>
          <w:bCs w:val="false"/>
          <w:i w:val="false"/>
          <w:iCs w:val="false"/>
          <w:sz w:val="22"/>
          <w:szCs w:val="22"/>
        </w:rPr>
        <w:t xml:space="preserve">The challenges encountered are not unique to ALS or ARC: any patient-directed SMART on FHIR registry will face heterogeneous payload formats within nominally uniform exports, identifier provenance gaps, vendor-specific display-name omissions, the unavoidable presence of test records, the need to inventory codes before standardization, and the loss of clinically essential content that lives only in narrative notes. The pattern described here generalizes directly to other registries acquiring data through this model.</w:t>
      </w:r>
    </w:p>
    <w:p>
      <w:pPr>
        <w:spacing w:after="120" w:line="276"/>
        <w:jc w:val="left"/>
      </w:pPr>
      <w:r>
        <w:rPr>
          <w:rFonts w:ascii="Arial" w:cs="Arial" w:eastAsia="Arial" w:hAnsi="Arial"/>
          <w:b/>
          <w:bCs/>
          <w:i w:val="false"/>
          <w:iCs w:val="false"/>
          <w:sz w:val="22"/>
          <w:szCs w:val="22"/>
        </w:rPr>
        <w:t xml:space="preserve">Conclusion. </w:t>
      </w:r>
      <w:r>
        <w:rPr>
          <w:rFonts w:ascii="Arial" w:cs="Arial" w:eastAsia="Arial" w:hAnsi="Arial"/>
          <w:b w:val="false"/>
          <w:bCs w:val="false"/>
          <w:i w:val="false"/>
          <w:iCs w:val="false"/>
          <w:sz w:val="22"/>
          <w:szCs w:val="22"/>
        </w:rPr>
        <w:t xml:space="preserve">We describe a reproducible end-to-end pipeline that turns a heterogeneous, un-linked SMART on FHIR document repository into (a) a researcher-usable browser viewer, (b) a standardized OMOP CDM dataset suitable for federated observational research, and (c) a structured extraction of unstructured-note content otherwise lost to analytics. All processing is local-first, requires no server infrastructure, and is portable to any registry whose acquisition layer can produce the simple two-directory input contract.</w:t>
      </w:r>
    </w:p>
    <w:p>
      <w:pPr>
        <w:pStyle w:val="Heading1"/>
        <w:spacing w:after="160" w:before="280"/>
      </w:pPr>
      <w:r>
        <w:rPr>
          <w:rFonts w:ascii="Arial" w:cs="Arial" w:eastAsia="Arial" w:hAnsi="Arial"/>
          <w:b/>
          <w:bCs/>
          <w:sz w:val="28"/>
          <w:szCs w:val="28"/>
        </w:rPr>
        <w:t xml:space="preserve">BACKGROUND AND SIGNIFICANCE</w:t>
      </w:r>
    </w:p>
    <w:p>
      <w:pPr>
        <w:pStyle w:val="Heading2"/>
        <w:spacing w:after="120" w:before="200"/>
      </w:pPr>
      <w:r>
        <w:rPr>
          <w:rFonts w:ascii="Arial" w:cs="Arial" w:eastAsia="Arial" w:hAnsi="Arial"/>
          <w:b/>
          <w:bCs/>
          <w:i/>
          <w:iCs/>
          <w:sz w:val="24"/>
          <w:szCs w:val="24"/>
        </w:rPr>
        <w:t xml:space="preserve">Patient-directed SMART on FHIR data acquisition</w:t>
      </w:r>
    </w:p>
    <w:p>
      <w:pPr>
        <w:spacing w:after="120" w:line="276"/>
        <w:jc w:val="left"/>
      </w:pPr>
      <w:r>
        <w:rPr>
          <w:rFonts w:ascii="Arial" w:cs="Arial" w:eastAsia="Arial" w:hAnsi="Arial"/>
          <w:sz w:val="22"/>
          <w:szCs w:val="22"/>
        </w:rPr>
        <w:t xml:space="preserve">The Substitutable Medical Applications, Reusable Technologies (SMART) on FHIR specification describes how third-party applications can authenticate to a patient’s electronic health record (EHR) account and retrieve clinical data on the patient’s behalf, using OAuth 2.0 as the authorization framework [1,2]. Following the implementation deadlines of the 21st Century Cures Act and the ONC information-blocking rule (effective 2021–2022), all certified EHRs in the United States are required to expose a SMART on FHIR-conformant patient-facing API supporting standardized data export [3,4]. As a consequence, a patient can authorize an external application — including a non-network-affiliated patient registry — to retrieve their longitudinal record from any compliant EHR system.</w:t>
      </w:r>
    </w:p>
    <w:p>
      <w:pPr>
        <w:spacing w:after="120" w:line="276"/>
        <w:jc w:val="left"/>
      </w:pPr>
      <w:r>
        <w:rPr>
          <w:rFonts w:ascii="Arial" w:cs="Arial" w:eastAsia="Arial" w:hAnsi="Arial"/>
          <w:sz w:val="22"/>
          <w:szCs w:val="22"/>
        </w:rPr>
        <w:t xml:space="preserve">This acquisition model is increasingly visible in production systems. Apple’s Health Records feature uses SMART on FHIR with OAuth 2.0 to consolidate consumer-side records from over 700 US health organizations directly onto an iPhone [5]. CareEvolution’s MyDataHelps and the related myFHR consumer application implement the same flow for clinical research and patient-engagement studies, with documented integrations to more than 4,000 providers and to CMS Blue Button 2.0 for Medicare claims [6,7]. The RareLink framework demonstrates the same pattern in a REDCap-based rare-disease registry context, including FHIR export of registry data and Phenopackets representation for genomic research [8]. Other emerging registry vendors (e.g. Pulse Infoframe’s healthie platform) integrate FHIR-shaped data into rare-disease and natural-history registries even where the immediate front-end is a survey instrument rather than a SMART app [9]. Together, these examples document that patient-directed SMART on FHIR is the dominant on-ramp for EHR data into modern registries.</w:t>
      </w:r>
    </w:p>
    <w:p>
      <w:pPr>
        <w:spacing w:after="120" w:line="276"/>
        <w:jc w:val="left"/>
      </w:pPr>
      <w:r>
        <w:rPr>
          <w:rFonts w:ascii="Arial" w:cs="Arial" w:eastAsia="Arial" w:hAnsi="Arial"/>
          <w:sz w:val="22"/>
          <w:szCs w:val="22"/>
        </w:rPr>
        <w:t xml:space="preserve">For rare-disease and natural-history registries — where participants are dispersed geographically and seen at many different health systems — this model is particularly valuable. The ARC Study, run by the ALS Therapy Development Institute (ALS TDI) and one of the longest-running natural-history studies of amyotrophic lateral sclerosis (ALS), enrolls participants across the United States who receive care at institutions including Mayo Clinic, Mass General Brigham, and Johns Hopkins [10]. SMART on FHIR allows ARC to assemble an integrated longitudinal record for each participant without negotiating bilateral agreements with every site of care.</w:t>
      </w:r>
    </w:p>
    <w:p>
      <w:pPr>
        <w:pStyle w:val="Heading2"/>
        <w:spacing w:after="120" w:before="200"/>
      </w:pPr>
      <w:r>
        <w:rPr>
          <w:rFonts w:ascii="Arial" w:cs="Arial" w:eastAsia="Arial" w:hAnsi="Arial"/>
          <w:b/>
          <w:bCs/>
          <w:i/>
          <w:iCs/>
          <w:sz w:val="24"/>
          <w:szCs w:val="24"/>
        </w:rPr>
        <w:t xml:space="preserve">The post-acquisition analytics gap</w:t>
      </w:r>
    </w:p>
    <w:p>
      <w:pPr>
        <w:spacing w:after="120" w:line="276"/>
        <w:jc w:val="left"/>
      </w:pPr>
      <w:r>
        <w:rPr>
          <w:rFonts w:ascii="Arial" w:cs="Arial" w:eastAsia="Arial" w:hAnsi="Arial"/>
          <w:sz w:val="22"/>
          <w:szCs w:val="22"/>
        </w:rPr>
        <w:t xml:space="preserve">Acquiring data is not the same as having usable data. SMART on FHIR returns a heterogeneous mixture of artifacts: patient-summary documents in C-CDA, discrete FHIR resources organized as Bundles, and embedded narrative documents in formats determined by the source EHR vendor (HTML fragments, RTF notes, scanned PDFs). Each artifact must be decoded, parsed, deduplicated, joined to a canonical patient identifier, and rendered in a form clinicians and research staff can review [11,12]. Beyond review, downstream uses (federated observational research, registry-to-registry pooling, and surfacing disease-specific information that lives only in narrative text) require additional layers of work that the registry must build itself.</w:t>
      </w:r>
    </w:p>
    <w:p>
      <w:pPr>
        <w:spacing w:after="120" w:line="276"/>
        <w:jc w:val="left"/>
      </w:pPr>
      <w:r>
        <w:rPr>
          <w:rFonts w:ascii="Arial" w:cs="Arial" w:eastAsia="Arial" w:hAnsi="Arial"/>
          <w:sz w:val="22"/>
          <w:szCs w:val="22"/>
        </w:rPr>
        <w:t xml:space="preserve">We describe an end-to-end pipeline that closes this gap with minimal infrastructure. The pipeline is patient-directed-SMART-on-FHIR-agnostic: the same pattern applies to any registry that retrieves a mixture of C-CDA documents and FHIR Bundles through an OAuth 2.0 flow, regardless of which downstream storage system (Databricks, Snowflake, Amazon S3, Azure Blob, on-premise filesystem) holds the resulting payloads. Compared with the previous version of this pipeline, which terminated at the browser viewer, the present version adds three layers explicitly: a code inventory, an OMOP CDM v5.4 ETL, and a regex-based unstructured-text extraction module. Together they make the pipeline a complete acquisition-to-analytics chain rather than only an acquisition-to-viewing chain.</w:t>
      </w:r>
    </w:p>
    <w:p>
      <w:pPr>
        <w:pStyle w:val="Heading1"/>
        <w:spacing w:after="160" w:before="280"/>
      </w:pPr>
      <w:r>
        <w:rPr>
          <w:rFonts w:ascii="Arial" w:cs="Arial" w:eastAsia="Arial" w:hAnsi="Arial"/>
          <w:b/>
          <w:bCs/>
          <w:sz w:val="28"/>
          <w:szCs w:val="28"/>
        </w:rPr>
        <w:t xml:space="preserve">OBJECTIVE</w:t>
      </w:r>
    </w:p>
    <w:p>
      <w:pPr>
        <w:spacing w:after="120" w:line="276"/>
        <w:jc w:val="left"/>
      </w:pPr>
      <w:r>
        <w:rPr>
          <w:rFonts w:ascii="Arial" w:cs="Arial" w:eastAsia="Arial" w:hAnsi="Arial"/>
          <w:sz w:val="22"/>
          <w:szCs w:val="22"/>
        </w:rPr>
        <w:t xml:space="preserve">To produce a reproducible, local-first pipeline that (a) decodes and parses every artifact in a SMART on FHIR-acquired clinical document repository regardless of underlying format, (b) extracts structured codes and full narrative text from each, (c) joins records across C-CDA and FHIR sources via a canonical patient identifier, (d) enriches incomplete display-name fields using an ontology-aware lookup, (e) supports auditable exclusion of test or non-clinical records, (f) inventories every (vocabulary, code) pair encountered with reference and unique-patient counts, (g) produces an OMOP CDM v5.4 dataset tagged by Athena vocabulary release version, and (h) recovers disease-specific content from unstructured note narratives via a regex-pattern library. A secondary objective is to generalize the pattern: to describe how every layer can be adapted by any patient registry acquiring data through patient-directed SMART on FHIR.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6A4C9C" w:sz="6"/>
              <w:left w:val="dashed" w:color="6A4C9C" w:sz="6"/>
              <w:bottom w:val="dashed" w:color="6A4C9C" w:sz="6"/>
              <w:right w:val="dashed" w:color="6A4C9C" w:sz="6"/>
            </w:tcBorders>
            <w:shd w:fill="F5F0FA" w:val="clear"/>
            <w:tcMar>
              <w:top w:type="dxa" w:w="280"/>
              <w:left w:type="dxa" w:w="200"/>
              <w:bottom w:type="dxa" w:w="280"/>
              <w:right w:type="dxa" w:w="200"/>
            </w:tcMar>
          </w:tcPr>
          <w:p>
            <w:pPr>
              <w:spacing w:after="80"/>
              <w:jc w:val="center"/>
            </w:pPr>
            <w:r>
              <w:rPr>
                <w:rFonts w:ascii="Arial" w:cs="Arial" w:eastAsia="Arial" w:hAnsi="Arial"/>
                <w:b/>
                <w:bCs/>
                <w:color w:val="6A4C9C"/>
                <w:sz w:val="22"/>
                <w:szCs w:val="22"/>
              </w:rPr>
              <w:t xml:space="preserve">[ FIGURE 1 PLACEHOLDER ]</w:t>
            </w:r>
          </w:p>
          <w:p>
            <w:pPr>
              <w:spacing w:after="80"/>
              <w:jc w:val="center"/>
            </w:pPr>
            <w:r>
              <w:rPr>
                <w:rFonts w:ascii="Arial" w:cs="Arial" w:eastAsia="Arial" w:hAnsi="Arial"/>
                <w:i/>
                <w:iCs/>
                <w:color w:val="6A4C9C"/>
                <w:sz w:val="22"/>
                <w:szCs w:val="22"/>
              </w:rPr>
              <w:t xml:space="preserve">End-to-end pipeline architecture</w:t>
            </w:r>
          </w:p>
          <w:p>
            <w:pPr>
              <w:jc w:val="center"/>
            </w:pPr>
            <w:r>
              <w:rPr>
                <w:rFonts w:ascii="Arial" w:cs="Arial" w:eastAsia="Arial" w:hAnsi="Arial"/>
                <w:color w:val="888888"/>
                <w:sz w:val="18"/>
                <w:szCs w:val="18"/>
              </w:rPr>
              <w:t xml:space="preserve">Block diagram showing the seven Python stages plus the two downstream modules (OMOP ETL and note extraction). Inputs at left (chunked CSVs from a SMART on FHIR-fed warehouse, Athena vocabulary download), outputs at right (browser viewer, code inventory, OMOP CDM tables, note-extraction CSV).</w:t>
            </w:r>
          </w:p>
        </w:tc>
      </w:tr>
    </w:tbl>
    <w:p>
      <w:pPr>
        <w:spacing w:after="200" w:line="276"/>
        <w:jc w:val="left"/>
      </w:pPr>
      <w:r>
        <w:rPr>
          <w:rFonts w:ascii="Arial" w:cs="Arial" w:eastAsia="Arial" w:hAnsi="Arial"/>
          <w:b/>
          <w:bCs/>
          <w:i w:val="false"/>
          <w:iCs w:val="false"/>
          <w:sz w:val="22"/>
          <w:szCs w:val="22"/>
        </w:rPr>
        <w:t xml:space="preserve">Figure 1. </w:t>
      </w:r>
      <w:r>
        <w:rPr>
          <w:rFonts w:ascii="Arial" w:cs="Arial" w:eastAsia="Arial" w:hAnsi="Arial"/>
          <w:b w:val="false"/>
          <w:bCs w:val="false"/>
          <w:i/>
          <w:iCs/>
          <w:sz w:val="22"/>
          <w:szCs w:val="22"/>
        </w:rPr>
        <w:t xml:space="preserve">End-to-end pipeline architecture.</w:t>
      </w:r>
      <w:r>
        <w:rPr>
          <w:rFonts w:ascii="Arial" w:cs="Arial" w:eastAsia="Arial" w:hAnsi="Arial"/>
          <w:b w:val="false"/>
          <w:bCs w:val="false"/>
          <w:i/>
          <w:iCs/>
          <w:sz w:val="22"/>
          <w:szCs w:val="22"/>
        </w:rPr>
        <w:t xml:space="preserve"> The pipeline is split into three layers: a seven-stage core (Stages 1–7) that produces the bundle, code inventory, and viewer; an OMOP CDM v5.4 ETL module that consumes the bundle plus an Athena vocabulary download; and a regex-based note extraction module that recovers disease-specific content from unstructured narrative text. All three layers run on commodity hardware with no server infrastructure.</w:t>
      </w:r>
    </w:p>
    <w:p>
      <w:pPr>
        <w:pStyle w:val="Heading1"/>
        <w:spacing w:after="160" w:before="280"/>
      </w:pPr>
      <w:r>
        <w:rPr>
          <w:rFonts w:ascii="Arial" w:cs="Arial" w:eastAsia="Arial" w:hAnsi="Arial"/>
          <w:b/>
          <w:bCs/>
          <w:sz w:val="28"/>
          <w:szCs w:val="28"/>
        </w:rPr>
        <w:t xml:space="preserve">MATERIALS AND METHODS</w:t>
      </w:r>
    </w:p>
    <w:p>
      <w:pPr>
        <w:pStyle w:val="Heading2"/>
        <w:spacing w:after="120" w:before="200"/>
      </w:pPr>
      <w:r>
        <w:rPr>
          <w:rFonts w:ascii="Arial" w:cs="Arial" w:eastAsia="Arial" w:hAnsi="Arial"/>
          <w:b/>
          <w:bCs/>
          <w:i/>
          <w:iCs/>
          <w:sz w:val="24"/>
          <w:szCs w:val="24"/>
        </w:rPr>
        <w:t xml:space="preserve">Data acquisition flow</w:t>
      </w:r>
    </w:p>
    <w:p>
      <w:pPr>
        <w:spacing w:after="120" w:line="276"/>
        <w:jc w:val="left"/>
      </w:pPr>
      <w:r>
        <w:rPr>
          <w:rFonts w:ascii="Arial" w:cs="Arial" w:eastAsia="Arial" w:hAnsi="Arial"/>
          <w:sz w:val="22"/>
          <w:szCs w:val="22"/>
        </w:rPr>
        <w:t xml:space="preserve">ARC participants are onboarded through a patient-directed SMART on FHIR authorization flow. From the ARC Data Commons platform, the participant selects their healthcare provider, is redirected to the provider’s patient portal for authentication, and explicitly grants ALS TDI’s registered SMART application read access to a defined scope of their EHR data (typically including patient demographics, conditions, observations, medications, procedures, encounters, allergies, immunizations, care plans, diagnostic reports, goals, and document references). The OAuth 2.0 access token returned to the registry is exchanged for FHIR resources and patient-summary documents through the EHR’s SMART-conformant API. Retrieved artifacts are deposited into a Databricks workspace at ALS TDI for downstream processing. Token refresh is handled by the registry platform, allowing longitudinal re-pulls as the participant accumulates new clinical encounters. The integration was deliberately architected so that the boundary between acquisition (handled by ALS TDI’s registry platform) and analytics (this pipeline) is a simple filesystem contract: a directory of decoded clinical documents and a parallel directory of FHIR Bundle JSON files. This contract is what makes the pipeline portable to other registries — any registry whose acquisition layer can produce these two directories can consume the pipeline unchanged.</w:t>
      </w:r>
    </w:p>
    <w:p>
      <w:pPr>
        <w:pStyle w:val="Heading2"/>
        <w:spacing w:after="120" w:before="200"/>
      </w:pPr>
      <w:r>
        <w:rPr>
          <w:rFonts w:ascii="Arial" w:cs="Arial" w:eastAsia="Arial" w:hAnsi="Arial"/>
          <w:b/>
          <w:bCs/>
          <w:i/>
          <w:iCs/>
          <w:sz w:val="24"/>
          <w:szCs w:val="24"/>
        </w:rPr>
        <w:t xml:space="preserve">Inputs</w:t>
      </w:r>
    </w:p>
    <w:p>
      <w:pPr>
        <w:spacing w:after="120" w:line="276"/>
        <w:jc w:val="left"/>
      </w:pPr>
      <w:r>
        <w:rPr>
          <w:rFonts w:ascii="Arial" w:cs="Arial" w:eastAsia="Arial" w:hAnsi="Arial"/>
          <w:sz w:val="22"/>
          <w:szCs w:val="22"/>
        </w:rPr>
        <w:t xml:space="preserve">Two parallel directories on local disk were processed: ccda_assembled/ (22,686 .xml files sourced from the SMART on FHIR DocumentReference and Binary endpoints, all base64-encoded, with underlying content varying by EHR vendor) and fhir_assembled/ (1,791 JSON files, each a FHIR Bundle of one resource type for one patient). Two registry-internal tables provided patient-level metadata: a document-to-patient mapping (linking each C-CDA UUID to a Databricks patient_id) and a patient-import audit table (linking each Databricks patient_id to one or more external Epic patient identifiers across the source EHRs).</w:t>
      </w:r>
    </w:p>
    <w:p>
      <w:pPr>
        <w:pStyle w:val="Heading2"/>
        <w:spacing w:after="120" w:before="200"/>
      </w:pPr>
      <w:r>
        <w:rPr>
          <w:rFonts w:ascii="Arial" w:cs="Arial" w:eastAsia="Arial" w:hAnsi="Arial"/>
          <w:b/>
          <w:bCs/>
          <w:i/>
          <w:iCs/>
          <w:sz w:val="24"/>
          <w:szCs w:val="24"/>
        </w:rPr>
        <w:t xml:space="preserve">Pipeline architecture</w:t>
      </w:r>
    </w:p>
    <w:p>
      <w:pPr>
        <w:spacing w:after="120" w:line="276"/>
        <w:jc w:val="left"/>
      </w:pPr>
      <w:r>
        <w:rPr>
          <w:rFonts w:ascii="Arial" w:cs="Arial" w:eastAsia="Arial" w:hAnsi="Arial"/>
          <w:sz w:val="22"/>
          <w:szCs w:val="22"/>
        </w:rPr>
        <w:t xml:space="preserve">The pipeline is implemented as a single Python module run_pipeline.py with seven sequential stages. No data leaves the analyst’s workstation. Two downstream modules (omop_etl.py and note_extraction.py) consume the resulting bundle.</w:t>
      </w:r>
    </w:p>
    <w:p>
      <w:pPr>
        <w:spacing w:after="120" w:line="276"/>
        <w:jc w:val="left"/>
      </w:pPr>
      <w:r>
        <w:rPr>
          <w:rFonts w:ascii="Arial" w:cs="Arial" w:eastAsia="Arial" w:hAnsi="Arial"/>
          <w:b/>
          <w:bCs/>
          <w:i w:val="false"/>
          <w:iCs w:val="false"/>
          <w:sz w:val="22"/>
          <w:szCs w:val="22"/>
        </w:rPr>
        <w:t xml:space="preserve">Stage 1 — Chunk reassembly and decoding. </w:t>
      </w:r>
      <w:r>
        <w:rPr>
          <w:rFonts w:ascii="Arial" w:cs="Arial" w:eastAsia="Arial" w:hAnsi="Arial"/>
          <w:b w:val="false"/>
          <w:bCs w:val="false"/>
          <w:i w:val="false"/>
          <w:iCs w:val="false"/>
          <w:sz w:val="22"/>
          <w:szCs w:val="22"/>
        </w:rPr>
        <w:t xml:space="preserve">Inputs are read as chunked CSVs (from the registry’s warehouse export). Chunks are concatenated by document identifier and base64-decoded; up to two passes of decoding are applied because some Databricks export pipelines double-encode the payload. The decoder preserves binary content unchanged when the result already passes a magic-byte sanity check, avoiding a previous corruption mode in which the decoder unconditionally re-decoded already-decoded bytes through a UTF-8 round-trip and silently dropped non-UTF-8 bytes inside PDFs.</w:t>
      </w:r>
    </w:p>
    <w:p>
      <w:pPr>
        <w:spacing w:after="120" w:line="276"/>
        <w:jc w:val="left"/>
      </w:pPr>
      <w:r>
        <w:rPr>
          <w:rFonts w:ascii="Arial" w:cs="Arial" w:eastAsia="Arial" w:hAnsi="Arial"/>
          <w:b/>
          <w:bCs/>
          <w:i w:val="false"/>
          <w:iCs w:val="false"/>
          <w:sz w:val="22"/>
          <w:szCs w:val="22"/>
        </w:rPr>
        <w:t xml:space="preserve">Stage 2 — Heterogeneous parsing. </w:t>
      </w:r>
      <w:r>
        <w:rPr>
          <w:rFonts w:ascii="Arial" w:cs="Arial" w:eastAsia="Arial" w:hAnsi="Arial"/>
          <w:b w:val="false"/>
          <w:bCs w:val="false"/>
          <w:i w:val="false"/>
          <w:iCs w:val="false"/>
          <w:sz w:val="22"/>
          <w:szCs w:val="22"/>
        </w:rPr>
        <w:t xml:space="preserve">Format detection uses magic-byte signatures: %PDF-, {\rtf, &lt;?xml, and HTML tag prefixes route each file to a specialized extractor. C-CDA files are parsed with xml.etree.ElementTree using HL7 templateId values to locate each section. RTF notes (Epic, epicV10801 header) are stripped via a custom regex-based parser handling control words, hex escapes, unicode escapes, and skipping non-content groups (font tables, color tables, listtables). PDFs are extracted with pypdf. HTML fragments are stripped via html.unescape and tag removal. Within each C-CDA coded element the parser reads not only the outer &lt;code&gt; attributes but every &lt;translation&gt; child element, returning the full set of equivalent codings for the concept. This matters because real-world C-CDA exports vary in which coding is placed outermost: some EHRs put NDC outside and RxNorm in &lt;translation&gt;; others put a vendor-local code outside and SNOMED CT in &lt;translation&gt;. After exhaustive collection, a per-domain prioritization step (RxNorm &gt; SNOMED &gt; NDC for medications; SNOMED &gt; ICD-10-CM for problems; LOINC &gt; SNOMED for labs) selects the primary code while the complete coding list is preserved for downstream consumers including OMOP CDM mapping.</w:t>
      </w:r>
    </w:p>
    <w:p>
      <w:pPr>
        <w:spacing w:after="120" w:line="276"/>
        <w:jc w:val="left"/>
      </w:pPr>
      <w:r>
        <w:rPr>
          <w:rFonts w:ascii="Arial" w:cs="Arial" w:eastAsia="Arial" w:hAnsi="Arial"/>
          <w:b/>
          <w:bCs/>
          <w:i w:val="false"/>
          <w:iCs w:val="false"/>
          <w:sz w:val="22"/>
          <w:szCs w:val="22"/>
        </w:rPr>
        <w:t xml:space="preserve">Stage 3 — FHIR resource extraction. </w:t>
      </w:r>
      <w:r>
        <w:rPr>
          <w:rFonts w:ascii="Arial" w:cs="Arial" w:eastAsia="Arial" w:hAnsi="Arial"/>
          <w:b w:val="false"/>
          <w:bCs w:val="false"/>
          <w:i w:val="false"/>
          <w:iCs w:val="false"/>
          <w:sz w:val="22"/>
          <w:szCs w:val="22"/>
        </w:rPr>
        <w:t xml:space="preserve">The FHIR parser walks each Bundle’s entry array and dispatches each resource to a type-specific extractor that pulls codes (system, code, display), dates, statuses, and values from FHIR-standard locations. Thirteen resource types are supported. A pre-pass builds a global cross-bundle medication-and-document index so that resources defined in one Bundle but referenced from another resolve correctly. Patient linkage is resolved via subject.reference, normalized and looked up against an Epic-ID-to-patient_id mapping derived from the patient-import audit table. Symmetric to the C-CDA path, the FHIR extractor walks every entry of each CodeableConcept.coding[] array rather than reading only the first. Patient demographics are sourced exclusively from FHIR Patient resources; Practitioner, RelatedPerson, Organization, and other name-bearing resource types are explicitly excluded.</w:t>
      </w:r>
    </w:p>
    <w:p>
      <w:pPr>
        <w:spacing w:after="120" w:line="276"/>
        <w:jc w:val="left"/>
      </w:pPr>
      <w:r>
        <w:rPr>
          <w:rFonts w:ascii="Arial" w:cs="Arial" w:eastAsia="Arial" w:hAnsi="Arial"/>
          <w:b/>
          <w:bCs/>
          <w:i w:val="false"/>
          <w:iCs w:val="false"/>
          <w:sz w:val="22"/>
          <w:szCs w:val="22"/>
        </w:rPr>
        <w:t xml:space="preserve">Stage 4 — Joining and dashboard bundling. </w:t>
      </w:r>
      <w:r>
        <w:rPr>
          <w:rFonts w:ascii="Arial" w:cs="Arial" w:eastAsia="Arial" w:hAnsi="Arial"/>
          <w:b w:val="false"/>
          <w:bCs w:val="false"/>
          <w:i w:val="false"/>
          <w:iCs w:val="false"/>
          <w:sz w:val="22"/>
          <w:szCs w:val="22"/>
        </w:rPr>
        <w:t xml:space="preserve">All structured tables are unified by patient_id, with each row tagged source: ccda or source: fhir so downstream consumers can dedupe or weight them as needed. Dedupe uses (lower(first_name), lower(last_name), dob). Outputs include a multi-sheet Excel workbook, per-resource CSVs, and a single JSON bundle consumed by a static HTML dashboard.</w:t>
      </w:r>
    </w:p>
    <w:p>
      <w:pPr>
        <w:spacing w:after="120" w:line="276"/>
        <w:jc w:val="left"/>
      </w:pPr>
      <w:r>
        <w:rPr>
          <w:rFonts w:ascii="Arial" w:cs="Arial" w:eastAsia="Arial" w:hAnsi="Arial"/>
          <w:b/>
          <w:bCs/>
          <w:i w:val="false"/>
          <w:iCs w:val="false"/>
          <w:sz w:val="22"/>
          <w:szCs w:val="22"/>
        </w:rPr>
        <w:t xml:space="preserve">Stage 5 — Display-name enrichment. </w:t>
      </w:r>
      <w:r>
        <w:rPr>
          <w:rFonts w:ascii="Arial" w:cs="Arial" w:eastAsia="Arial" w:hAnsi="Arial"/>
          <w:b w:val="false"/>
          <w:bCs w:val="false"/>
          <w:i w:val="false"/>
          <w:iCs w:val="false"/>
          <w:sz w:val="22"/>
          <w:szCs w:val="22"/>
        </w:rPr>
        <w:t xml:space="preserve">Inspection of the parsed Labs/Observations table revealed that approximately 32% of LOINC-coded observations carried no displayName attribute in the source C-CDA — a known artifact of certain Epic export pipelines, where universally-recognized vital sign codes are emitted without redundant labels [13]. We compiled a built-in lookup of approximately 80 common LOINC codes covering vital signs, basic and comprehensive metabolic panels, complete blood count, lipid panel, thyroid function, coagulation studies, cardiac markers, inflammatory markers, urinalysis, and ALS-specific functional assessments (LOINC 67131-4, ALS Functional Rating Scale-Revised). The script walks all dashboard records and fills in missing display-name values from the lookup.</w:t>
      </w:r>
    </w:p>
    <w:p>
      <w:pPr>
        <w:spacing w:after="120" w:line="276"/>
        <w:jc w:val="left"/>
      </w:pPr>
      <w:r>
        <w:rPr>
          <w:rFonts w:ascii="Arial" w:cs="Arial" w:eastAsia="Arial" w:hAnsi="Arial"/>
          <w:b/>
          <w:bCs/>
          <w:i w:val="false"/>
          <w:iCs w:val="false"/>
          <w:sz w:val="22"/>
          <w:szCs w:val="22"/>
        </w:rPr>
        <w:t xml:space="preserve">Stage 6 — Test-patient filtering. </w:t>
      </w:r>
      <w:r>
        <w:rPr>
          <w:rFonts w:ascii="Arial" w:cs="Arial" w:eastAsia="Arial" w:hAnsi="Arial"/>
          <w:b w:val="false"/>
          <w:bCs w:val="false"/>
          <w:i w:val="false"/>
          <w:iCs w:val="false"/>
          <w:sz w:val="22"/>
          <w:szCs w:val="22"/>
        </w:rPr>
        <w:t xml:space="preserve">A plain-text exclusion file (test_patients.txt) plus a hardcoded in-code exclusion list together support four match types: full patient_id (exact match), exact name match (case-insensitive), name substring match, and MRN substring match. Matched patients are removed along with their associated documents, observations, encounters, and other resources, and a backup of the pre-filter state is created.</w:t>
      </w:r>
    </w:p>
    <w:p>
      <w:pPr>
        <w:spacing w:after="120" w:line="276"/>
        <w:jc w:val="left"/>
      </w:pPr>
      <w:r>
        <w:rPr>
          <w:rFonts w:ascii="Arial" w:cs="Arial" w:eastAsia="Arial" w:hAnsi="Arial"/>
          <w:b/>
          <w:bCs/>
          <w:i w:val="false"/>
          <w:iCs w:val="false"/>
          <w:sz w:val="22"/>
          <w:szCs w:val="22"/>
        </w:rPr>
        <w:t xml:space="preserve">Stage 7 — Code inventory (new). </w:t>
      </w:r>
      <w:r>
        <w:rPr>
          <w:rFonts w:ascii="Arial" w:cs="Arial" w:eastAsia="Arial" w:hAnsi="Arial"/>
          <w:b w:val="false"/>
          <w:bCs w:val="false"/>
          <w:i w:val="false"/>
          <w:iCs w:val="false"/>
          <w:sz w:val="22"/>
          <w:szCs w:val="22"/>
        </w:rPr>
        <w:t xml:space="preserve">The pipeline now closes with a code inventory pass that walks every coded record in the bundle and produces a single CSV (code_inventory.csv) listing each unique (vocabulary, code) pair with its most-common display name, total reference count, count of distinct patients with at least one reference, and the bundle categories the code appears in. Categories walked are problems, medications, procedures, allergies, immunizations, labs_vitals (the union of labs and vitals; the split views are skipped to avoid double counting), diagnostic_reports, document_references, and encounters. A record with both a SNOMED concept and an ICD-10-CM translation contributes two rows to the inventory (one per vocabulary). The inventory is the input to Stage 8 (OMOP ETL) and useful on its own as a quality-assurance artifact — to spot codes whose display names are inconsistent across records, to identify codes whose unique-patient count is implausibly low for the registry size, and to size a downstream Athena vocabulary download.</w:t>
      </w:r>
    </w:p>
    <w:p>
      <w:pPr>
        <w:pStyle w:val="Heading2"/>
        <w:spacing w:after="120" w:before="200"/>
      </w:pPr>
      <w:r>
        <w:rPr>
          <w:rFonts w:ascii="Arial" w:cs="Arial" w:eastAsia="Arial" w:hAnsi="Arial"/>
          <w:b/>
          <w:bCs/>
          <w:i/>
          <w:iCs/>
          <w:sz w:val="24"/>
          <w:szCs w:val="24"/>
        </w:rPr>
        <w:t xml:space="preserve">Stage 8 — OMOP CDM v5.4 ETL (separate module)</w:t>
      </w:r>
    </w:p>
    <w:p>
      <w:pPr>
        <w:spacing w:after="120" w:line="276"/>
        <w:jc w:val="left"/>
      </w:pPr>
      <w:r>
        <w:rPr>
          <w:rFonts w:ascii="Arial" w:cs="Arial" w:eastAsia="Arial" w:hAnsi="Arial"/>
          <w:sz w:val="22"/>
          <w:szCs w:val="22"/>
        </w:rPr>
        <w:t xml:space="preserve">The OMOP ETL is implemented as a separate runnable module (omop_etl.py) rather than as an in-process pipeline stage because it depends on a multi-gigabyte Athena vocabulary download that is not present on every adopting registry’s workstation. The module reads the dashboard_data.json bundle plus the unzipped Athena directory and writes nine OMOP Common Data Model v5.4 tables: PERSON, VISIT_OCCURRENCE, OBSERVATION_PERIOD, CONDITION_OCCURRENCE, DRUG_EXPOSURE, PROCEDURE_OCCURRENCE, MEASUREMENT, OBSERVATION, and CDM_SOURCE [14]. Mapping is the standard OHDSI two-step: for each (vocabulary_id, concept_code) pair, look up the concept in CONCEPT.csv to obtain a source_concept_id, then follow CONCEPT_RELATIONSHIP.csv rows where relationship_id = "Maps to" and concept_id_1 equals the source_concept_id to obtain the standard concept_id. Records are routed to the target CDM table by the domain_id of the standard concept rather than by the source category, so an ICD-10-CM code in the registry’s problem list whose Maps-to target lives in the Procedure domain ends up in PROCEDURE_OCCURRENCE [15]. Codes that do not resolve are still written, with concept_id = 0 and source values populated, and the run log lists unmapped codes ranked by frequency. A practical engineering point: the Athena CONCEPT and CONCEPT_RELATIONSHIP tables together exceed 50 million rows when the full vocabulary set is selected, so the ETL streams both tables and filters in a single pass to keep the in-memory footprint to a few hundred thousand rows.</w:t>
      </w:r>
    </w:p>
    <w:p>
      <w:pPr>
        <w:spacing w:after="120" w:line="276"/>
        <w:jc w:val="left"/>
      </w:pPr>
      <w:r>
        <w:rPr>
          <w:rFonts w:ascii="Arial" w:cs="Arial" w:eastAsia="Arial" w:hAnsi="Arial"/>
          <w:sz w:val="22"/>
          <w:szCs w:val="22"/>
        </w:rPr>
        <w:t xml:space="preserve">Two design decisions distinguish this implementation from many in-house OMOP ETLs. First, the output folder is named omop_output_&lt;vocabulary_release&gt;/ — the release tag is read from VOCABULARY.csv at runtime, typically the SNOMED CT International Edition release date — so successive Athena pulls (which incorporate vocabulary updates) do not silently overwrite earlier output. Second, CDM_SOURCE.csv records the exact vocabulary_version string from every relevant vocabulary, providing an audit trail that is essential when the same registry is mapped repeatedly over time and needs to attribute coding changes to either source-data updates or vocabulary updates. The combination makes successive OMOP outputs versioned and reproducible at the vocabulary-release granularity, which is increasingly expected for studies submitted under reproducibility frameworks adopted by OHDSI working groups.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6A4C9C" w:sz="6"/>
              <w:left w:val="dashed" w:color="6A4C9C" w:sz="6"/>
              <w:bottom w:val="dashed" w:color="6A4C9C" w:sz="6"/>
              <w:right w:val="dashed" w:color="6A4C9C" w:sz="6"/>
            </w:tcBorders>
            <w:shd w:fill="F5F0FA" w:val="clear"/>
            <w:tcMar>
              <w:top w:type="dxa" w:w="280"/>
              <w:left w:type="dxa" w:w="200"/>
              <w:bottom w:type="dxa" w:w="280"/>
              <w:right w:type="dxa" w:w="200"/>
            </w:tcMar>
          </w:tcPr>
          <w:p>
            <w:pPr>
              <w:spacing w:after="80"/>
              <w:jc w:val="center"/>
            </w:pPr>
            <w:r>
              <w:rPr>
                <w:rFonts w:ascii="Arial" w:cs="Arial" w:eastAsia="Arial" w:hAnsi="Arial"/>
                <w:b/>
                <w:bCs/>
                <w:color w:val="6A4C9C"/>
                <w:sz w:val="22"/>
                <w:szCs w:val="22"/>
              </w:rPr>
              <w:t xml:space="preserve">[ FIGURE 2 PLACEHOLDER ]</w:t>
            </w:r>
          </w:p>
          <w:p>
            <w:pPr>
              <w:spacing w:after="80"/>
              <w:jc w:val="center"/>
            </w:pPr>
            <w:r>
              <w:rPr>
                <w:rFonts w:ascii="Arial" w:cs="Arial" w:eastAsia="Arial" w:hAnsi="Arial"/>
                <w:i/>
                <w:iCs/>
                <w:color w:val="6A4C9C"/>
                <w:sz w:val="22"/>
                <w:szCs w:val="22"/>
              </w:rPr>
              <w:t xml:space="preserve">Dashboard with merged C-CDA + FHIR record</w:t>
            </w:r>
          </w:p>
          <w:p>
            <w:pPr>
              <w:jc w:val="center"/>
            </w:pPr>
            <w:r>
              <w:rPr>
                <w:rFonts w:ascii="Arial" w:cs="Arial" w:eastAsia="Arial" w:hAnsi="Arial"/>
                <w:color w:val="888888"/>
                <w:sz w:val="18"/>
                <w:szCs w:val="18"/>
              </w:rPr>
              <w:t xml:space="preserve">Screenshot of the standalone HTML dashboard showing a single patient view with tabs for Patients, Documents, Encounters, Problems, Medications, Procedures, Labs/Vitals, Allergies, Immunizations, Care Plans, Diagnostic Reports, Goals, and CCDA Section Narratives. Per-tab Export CSV buttons visible at top of each panel.</w:t>
            </w:r>
          </w:p>
        </w:tc>
      </w:tr>
    </w:tbl>
    <w:p>
      <w:pPr>
        <w:spacing w:after="200" w:line="276"/>
        <w:jc w:val="left"/>
      </w:pPr>
      <w:r>
        <w:rPr>
          <w:rFonts w:ascii="Arial" w:cs="Arial" w:eastAsia="Arial" w:hAnsi="Arial"/>
          <w:b/>
          <w:bCs/>
          <w:i w:val="false"/>
          <w:iCs w:val="false"/>
          <w:sz w:val="22"/>
          <w:szCs w:val="22"/>
        </w:rPr>
        <w:t xml:space="preserve">Figure 2. </w:t>
      </w:r>
      <w:r>
        <w:rPr>
          <w:rFonts w:ascii="Arial" w:cs="Arial" w:eastAsia="Arial" w:hAnsi="Arial"/>
          <w:b w:val="false"/>
          <w:bCs w:val="false"/>
          <w:i/>
          <w:iCs/>
          <w:sz w:val="22"/>
          <w:szCs w:val="22"/>
        </w:rPr>
        <w:t xml:space="preserve">Browser-viewable dashboard.</w:t>
      </w:r>
      <w:r>
        <w:rPr>
          <w:rFonts w:ascii="Arial" w:cs="Arial" w:eastAsia="Arial" w:hAnsi="Arial"/>
          <w:b w:val="false"/>
          <w:bCs w:val="false"/>
          <w:i/>
          <w:iCs/>
          <w:sz w:val="22"/>
          <w:szCs w:val="22"/>
        </w:rPr>
        <w:t xml:space="preserve"> The single-file HTML dashboard renders the merged bundle entirely client-side. Per-tab CSV export buttons preserve the source provenance tags (source: ccda or source: fhir) for downstream analytic workflows.</w:t>
      </w:r>
    </w:p>
    <w:p>
      <w:pPr>
        <w:pStyle w:val="Heading2"/>
        <w:spacing w:after="120" w:before="200"/>
      </w:pPr>
      <w:r>
        <w:rPr>
          <w:rFonts w:ascii="Arial" w:cs="Arial" w:eastAsia="Arial" w:hAnsi="Arial"/>
          <w:b/>
          <w:bCs/>
          <w:i/>
          <w:iCs/>
          <w:sz w:val="24"/>
          <w:szCs w:val="24"/>
        </w:rPr>
        <w:t xml:space="preserve">Note extraction module (separate module)</w:t>
      </w:r>
    </w:p>
    <w:p>
      <w:pPr>
        <w:spacing w:after="120" w:line="276"/>
        <w:jc w:val="left"/>
      </w:pPr>
      <w:r>
        <w:rPr>
          <w:rFonts w:ascii="Arial" w:cs="Arial" w:eastAsia="Arial" w:hAnsi="Arial"/>
          <w:sz w:val="22"/>
          <w:szCs w:val="22"/>
        </w:rPr>
        <w:t xml:space="preserve">A second downstream module (note_extraction.py) applies a library of regular expressions to every free-text source in the bundle: CCDA section narratives in the notes array and the plain_text field of decoded documents (HTML, RTF, PDF). Output is a CSV with one row per match capturing patient_id, source_kind (ccda_section or document:&lt;format&gt;), source_id, pattern name, captured value, surrounding snippet (±60 characters of context), character offset, and a one-line description.</w:t>
      </w:r>
    </w:p>
    <w:p>
      <w:pPr>
        <w:spacing w:after="120" w:line="276"/>
        <w:jc w:val="left"/>
      </w:pPr>
      <w:r>
        <w:rPr>
          <w:rFonts w:ascii="Arial" w:cs="Arial" w:eastAsia="Arial" w:hAnsi="Arial"/>
          <w:sz w:val="22"/>
          <w:szCs w:val="22"/>
        </w:rPr>
        <w:t xml:space="preserve">The shipped patterns are written for ALS-specific content that EHRs rarely capture as discrete fields and consequently exists only in narrative text. Pattern groups include: ALSFRS-R total and bulbar/fine-motor/gross-motor/respiratory subdomain scores; ECAS total, ALS-specific, and non-ALS-specific scores plus FTD-spectrum mentions; El Escorial / Awaji-Shima diagnostic certainty (definite, clinically probable, lab-supported probable, possible, suspected); site of onset (bulbar, limb, spinal, respiratory, axial, cervical, lumbar); positive and negative family history of ALS / MND / FTD with named-relative disambiguation and negation lookbehind to avoid misclassifying “no family history of ALS” as positive; ALS-associated genetic mutations (C9orf72, SOD1, FUS, TARDBP, TBK1, VCP, UBQLN2, PFN1, MATR3, CHCHD10, ANG, OPTN, ATXN2); FVC percent-predicted; and dated treatment milestones (PEG placement, NIV/BiPAP initiation, riluzole and edaravone start, tracheostomy). The patterns are intentionally seed patterns intended for site-specific tuning, not validated production NLP — production clinical NLP applications should use cTAKES, MedSpaCy, or transformer-based models with proper assertion and temporality detection [16,17]. The module’s value is twofold. First, it converts a tier of clinically essential content from “inaccessible” to “discoverable in CSV” at near-zero engineering cost, which is an appropriate first step for under-resourced registries. Second, the output schema (patient_id, source_id, pattern, value, char_offset) matches the row shape that downstream clinical NLP systems use, so the same CSV consumer can be rewired to read richer NLP output later without changing analytic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6A4C9C" w:sz="6"/>
              <w:left w:val="dashed" w:color="6A4C9C" w:sz="6"/>
              <w:bottom w:val="dashed" w:color="6A4C9C" w:sz="6"/>
              <w:right w:val="dashed" w:color="6A4C9C" w:sz="6"/>
            </w:tcBorders>
            <w:shd w:fill="F5F0FA" w:val="clear"/>
            <w:tcMar>
              <w:top w:type="dxa" w:w="280"/>
              <w:left w:type="dxa" w:w="200"/>
              <w:bottom w:type="dxa" w:w="280"/>
              <w:right w:type="dxa" w:w="200"/>
            </w:tcMar>
          </w:tcPr>
          <w:p>
            <w:pPr>
              <w:spacing w:after="80"/>
              <w:jc w:val="center"/>
            </w:pPr>
            <w:r>
              <w:rPr>
                <w:rFonts w:ascii="Arial" w:cs="Arial" w:eastAsia="Arial" w:hAnsi="Arial"/>
                <w:b/>
                <w:bCs/>
                <w:color w:val="6A4C9C"/>
                <w:sz w:val="22"/>
                <w:szCs w:val="22"/>
              </w:rPr>
              <w:t xml:space="preserve">[ FIGURE 3 PLACEHOLDER ]</w:t>
            </w:r>
          </w:p>
          <w:p>
            <w:pPr>
              <w:spacing w:after="80"/>
              <w:jc w:val="center"/>
            </w:pPr>
            <w:r>
              <w:rPr>
                <w:rFonts w:ascii="Arial" w:cs="Arial" w:eastAsia="Arial" w:hAnsi="Arial"/>
                <w:i/>
                <w:iCs/>
                <w:color w:val="6A4C9C"/>
                <w:sz w:val="22"/>
                <w:szCs w:val="22"/>
              </w:rPr>
              <w:t xml:space="preserve">Code inventory and OMOP outputs</w:t>
            </w:r>
          </w:p>
          <w:p>
            <w:pPr>
              <w:jc w:val="center"/>
            </w:pPr>
            <w:r>
              <w:rPr>
                <w:rFonts w:ascii="Arial" w:cs="Arial" w:eastAsia="Arial" w:hAnsi="Arial"/>
                <w:color w:val="888888"/>
                <w:sz w:val="18"/>
                <w:szCs w:val="18"/>
              </w:rPr>
              <w:t xml:space="preserve">Two-panel screenshot. Left panel: code_inventory.csv excerpt showing vocabulary, code, display_name, n_references, n_unique_patients, source_categories columns sorted by reference count. Right panel: an OMOP CDM table excerpt (e.g. CONDITION_OCCURRENCE.csv) with both condition_concept_id and condition_source_concept_id populated, demonstrating the source→standard mapping.</w:t>
            </w:r>
          </w:p>
        </w:tc>
      </w:tr>
    </w:tbl>
    <w:p>
      <w:pPr>
        <w:spacing w:after="200" w:line="276"/>
        <w:jc w:val="left"/>
      </w:pPr>
      <w:r>
        <w:rPr>
          <w:rFonts w:ascii="Arial" w:cs="Arial" w:eastAsia="Arial" w:hAnsi="Arial"/>
          <w:b/>
          <w:bCs/>
          <w:i w:val="false"/>
          <w:iCs w:val="false"/>
          <w:sz w:val="22"/>
          <w:szCs w:val="22"/>
        </w:rPr>
        <w:t xml:space="preserve">Figure 3. </w:t>
      </w:r>
      <w:r>
        <w:rPr>
          <w:rFonts w:ascii="Arial" w:cs="Arial" w:eastAsia="Arial" w:hAnsi="Arial"/>
          <w:b w:val="false"/>
          <w:bCs w:val="false"/>
          <w:i/>
          <w:iCs/>
          <w:sz w:val="22"/>
          <w:szCs w:val="22"/>
        </w:rPr>
        <w:t xml:space="preserve">Code inventory and OMOP outputs.</w:t>
      </w:r>
      <w:r>
        <w:rPr>
          <w:rFonts w:ascii="Arial" w:cs="Arial" w:eastAsia="Arial" w:hAnsi="Arial"/>
          <w:b w:val="false"/>
          <w:bCs w:val="false"/>
          <w:i/>
          <w:iCs/>
          <w:sz w:val="22"/>
          <w:szCs w:val="22"/>
        </w:rPr>
        <w:t xml:space="preserve"> The Stage 7 code inventory CSV (left) is itself a useful QA artifact and serves as the input to OMOP mapping in Stage 8. OMOP rows (right) populate both the standard *_concept_id and the source *_source_concept_id, preserving lineage from the raw EHR code through the standardized concept.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6A4C9C" w:sz="6"/>
              <w:left w:val="dashed" w:color="6A4C9C" w:sz="6"/>
              <w:bottom w:val="dashed" w:color="6A4C9C" w:sz="6"/>
              <w:right w:val="dashed" w:color="6A4C9C" w:sz="6"/>
            </w:tcBorders>
            <w:shd w:fill="F5F0FA" w:val="clear"/>
            <w:tcMar>
              <w:top w:type="dxa" w:w="280"/>
              <w:left w:type="dxa" w:w="200"/>
              <w:bottom w:type="dxa" w:w="280"/>
              <w:right w:type="dxa" w:w="200"/>
            </w:tcMar>
          </w:tcPr>
          <w:p>
            <w:pPr>
              <w:spacing w:after="80"/>
              <w:jc w:val="center"/>
            </w:pPr>
            <w:r>
              <w:rPr>
                <w:rFonts w:ascii="Arial" w:cs="Arial" w:eastAsia="Arial" w:hAnsi="Arial"/>
                <w:b/>
                <w:bCs/>
                <w:color w:val="6A4C9C"/>
                <w:sz w:val="22"/>
                <w:szCs w:val="22"/>
              </w:rPr>
              <w:t xml:space="preserve">[ FIGURE 4 PLACEHOLDER ]</w:t>
            </w:r>
          </w:p>
          <w:p>
            <w:pPr>
              <w:spacing w:after="80"/>
              <w:jc w:val="center"/>
            </w:pPr>
            <w:r>
              <w:rPr>
                <w:rFonts w:ascii="Arial" w:cs="Arial" w:eastAsia="Arial" w:hAnsi="Arial"/>
                <w:i/>
                <w:iCs/>
                <w:color w:val="6A4C9C"/>
                <w:sz w:val="22"/>
                <w:szCs w:val="22"/>
              </w:rPr>
              <w:t xml:space="preserve">Note extraction output</w:t>
            </w:r>
          </w:p>
          <w:p>
            <w:pPr>
              <w:jc w:val="center"/>
            </w:pPr>
            <w:r>
              <w:rPr>
                <w:rFonts w:ascii="Arial" w:cs="Arial" w:eastAsia="Arial" w:hAnsi="Arial"/>
                <w:color w:val="888888"/>
                <w:sz w:val="18"/>
                <w:szCs w:val="18"/>
              </w:rPr>
              <w:t xml:space="preserve">Screenshot of note_extractions.csv showing rows captured for a single patient: ALSFRS-R total and subdomains, ECAS scores, El Escorial classification, family history, FVC, and treatment milestone dates. Each row shows the surrounding 60-character snippet so reviewers can verify match quality.</w:t>
            </w:r>
          </w:p>
        </w:tc>
      </w:tr>
    </w:tbl>
    <w:p>
      <w:pPr>
        <w:spacing w:after="200" w:line="276"/>
        <w:jc w:val="left"/>
      </w:pPr>
      <w:r>
        <w:rPr>
          <w:rFonts w:ascii="Arial" w:cs="Arial" w:eastAsia="Arial" w:hAnsi="Arial"/>
          <w:b/>
          <w:bCs/>
          <w:i w:val="false"/>
          <w:iCs w:val="false"/>
          <w:sz w:val="22"/>
          <w:szCs w:val="22"/>
        </w:rPr>
        <w:t xml:space="preserve">Figure 4. </w:t>
      </w:r>
      <w:r>
        <w:rPr>
          <w:rFonts w:ascii="Arial" w:cs="Arial" w:eastAsia="Arial" w:hAnsi="Arial"/>
          <w:b w:val="false"/>
          <w:bCs w:val="false"/>
          <w:i/>
          <w:iCs/>
          <w:sz w:val="22"/>
          <w:szCs w:val="22"/>
        </w:rPr>
        <w:t xml:space="preserve">Regex-based recovery of unstructured content.</w:t>
      </w:r>
      <w:r>
        <w:rPr>
          <w:rFonts w:ascii="Arial" w:cs="Arial" w:eastAsia="Arial" w:hAnsi="Arial"/>
          <w:b w:val="false"/>
          <w:bCs w:val="false"/>
          <w:i/>
          <w:iCs/>
          <w:sz w:val="22"/>
          <w:szCs w:val="22"/>
        </w:rPr>
        <w:t xml:space="preserve"> Output rows from the note extraction module run against a synthetic Plan-of-Care narrative. Every row carries a snippet with surrounding context for manual review; the pattern name and description allow rapid grouping of matches by clinical concept.</w:t>
      </w:r>
    </w:p>
    <w:p>
      <w:pPr>
        <w:pStyle w:val="Heading2"/>
        <w:spacing w:after="120" w:before="200"/>
      </w:pPr>
      <w:r>
        <w:rPr>
          <w:rFonts w:ascii="Arial" w:cs="Arial" w:eastAsia="Arial" w:hAnsi="Arial"/>
          <w:b/>
          <w:bCs/>
          <w:i/>
          <w:iCs/>
          <w:sz w:val="24"/>
          <w:szCs w:val="24"/>
        </w:rPr>
        <w:t xml:space="preserve">Stage 8b — Device and equipment extraction (separate module)</w:t>
      </w:r>
    </w:p>
    <w:p>
      <w:pPr>
        <w:spacing w:after="120" w:line="276"/>
        <w:jc w:val="left"/>
      </w:pPr>
      <w:r>
        <w:rPr>
          <w:rFonts w:ascii="Arial" w:cs="Arial" w:eastAsia="Arial" w:hAnsi="Arial"/>
          <w:sz w:val="22"/>
          <w:szCs w:val="22"/>
        </w:rPr>
        <w:t xml:space="preserve">Adaptive equipment, respiratory equipment (non-invasive ventilation, cough-assist devices, suction machines, oxygen concentrators), feeding equipment (PEG tubes, enteral pumps), and the OT/PT/SLP referral pathways that prescribe them carry disproportionate clinical and quality-of-life weight in progressive neurodegenerative disease, yet are unevenly captured in EHR data. Most relevant codes live in HCPCS Level II (E and K series for durable medical equipment) and CPT-4 (assistive technology and wheelchair management codes), neither of which is part of a typical observational-research code inventory; brand-name and referral language live entirely in narrative. A separate module (device_extraction.py) walks the bundle for both surfaces. Structured-side coverage spans approximately 80 codes across HCPCS Level II, SNOMED CT, and CPT-4 covering AAC and speech-generating devices, manual and power wheelchairs, standers, mobility aids, transfer aids, bath-toileting safety equipment, hospital beds and pressure mattresses, respiratory equipment, and feeding equipment. Unstructured-side coverage is approximately 45 regex patterns including brand-name detection (Tobii Dynavox, Prentke-Romich, TouchChat, Proloquo, Trilogy, Astral, Vivo, CoughAssist, Hoyer) and equipment-specific referral pathways (DME orders, OT consults for equipment, PT eval for wheelchair fitting, SLP consults for AAC). The module emits two CSVs joined by patient identifier (device_codes.csv with structured matches, device_extractions.csv with regex matches plus character-offset snippets for spot-review) so registries can either look at the two surfaces independently or merge them into a unified per-patient equipment view.</w:t>
      </w:r>
    </w:p>
    <w:p>
      <w:pPr>
        <w:pStyle w:val="Heading2"/>
        <w:spacing w:after="120" w:before="200"/>
      </w:pPr>
      <w:r>
        <w:rPr>
          <w:rFonts w:ascii="Arial" w:cs="Arial" w:eastAsia="Arial" w:hAnsi="Arial"/>
          <w:b/>
          <w:bCs/>
          <w:i/>
          <w:iCs/>
          <w:sz w:val="24"/>
          <w:szCs w:val="24"/>
        </w:rPr>
        <w:t xml:space="preserve">Stage 9 — GA4GH Phenopackets v2 ETL (separate module)</w:t>
      </w:r>
    </w:p>
    <w:p>
      <w:pPr>
        <w:spacing w:after="120" w:line="276"/>
        <w:jc w:val="left"/>
      </w:pPr>
      <w:r>
        <w:rPr>
          <w:rFonts w:ascii="Arial" w:cs="Arial" w:eastAsia="Arial" w:hAnsi="Arial"/>
          <w:sz w:val="22"/>
          <w:szCs w:val="22"/>
        </w:rPr>
        <w:t xml:space="preserve">A third downstream module (phenopackets_etl.py) consumes the bundle and produces one [GA4GH Phenopacket v2 JSON document per patient][22], plus a combined Cohort document, a per-patient summary CSV, and an unmapped-codes report. Phenopackets is the natural complement to OMOP: where OMOP serves federated observational research over large cohorts, Phenopackets serves deep phenotyping, rare-disease registry exchange, Matchmaker Exchange submission, and GA4GH Beacon-network participation. The design objective for this module was that the Phenopacket should be derivable end-to-end from the structured codes the EHR feed already supplies — ICD-10-CM and SNOMED CT problem codes mapping to HPO [23] phenotypes and Mondo [24] diseases, LOINC-coded labs and vitals as Phenopacket Measurements, RxNorm-coded medications as MedicalActions, and SNOMED CT or CPT-4 procedures as procedural MedicalActions. No clinical NLP, no manual chart abstraction, and no external linkage are required to produce a complete, schema-valid, reproducible Phenopacket from the structured-code path alone.</w:t>
      </w:r>
    </w:p>
    <w:p>
      <w:pPr>
        <w:spacing w:after="120" w:line="276"/>
        <w:jc w:val="left"/>
      </w:pPr>
      <w:r>
        <w:rPr>
          <w:rFonts w:ascii="Arial" w:cs="Arial" w:eastAsia="Arial" w:hAnsi="Arial"/>
          <w:sz w:val="22"/>
          <w:szCs w:val="22"/>
        </w:rPr>
        <w:t xml:space="preserve">The module ships hand-curated seed mappings covering three disease areas relevant to the ARC Study and adjacent ALS TDI activity — ALS spectrum, epilepsy, and autoimmune neurologic and rheumatic diseases — with approximately 25, 14, and 17 phenotype mappings respectively, and approximately 9, 8, and 15 disease mappings. Adopters extend the seed dictionaries directly in the module source, using SNOMED CT and ICD-10-CM as the source vocabularies and HPO and Mondo as the target ontologies. When an Athena vocabulary download with HPO and Mondo selected is available, the module supplements the seed tables by walking CONCEPT.csv and CONCEPT_RELATIONSHIP.csv for every Maps-to relationship from a SNOMED or ICD-10-CM source concept to an HPO or Mondo standard concept; this provides broader auto-mapping at the cost of an additional ~50 million-row vocabulary download. Output folders are named phenopackets_output_HPO-&lt;release&gt;_Mondo-&lt;release&gt;/ — same versioning discipline as OMOP — and Phenopackets metaData.resources records exact ontology release strings for every vocabulary used (HPO, Mondo, LOINC, RxNorm, SNOMED CT, ICD-10-CM, HGNC).</w:t>
      </w:r>
    </w:p>
    <w:p>
      <w:pPr>
        <w:spacing w:after="120" w:line="276"/>
        <w:jc w:val="left"/>
      </w:pPr>
      <w:r>
        <w:rPr>
          <w:rFonts w:ascii="Arial" w:cs="Arial" w:eastAsia="Arial" w:hAnsi="Arial"/>
          <w:sz w:val="22"/>
          <w:szCs w:val="22"/>
        </w:rPr>
        <w:t xml:space="preserve">A primary diagnosis (e.g. ALS) is emitted as a Disease (Mondo-coded) and is deliberately not duplicated in phenotypicFeatures; the module looks up each problem code against both Mondo and HPO and routes the code to the canonical slot. Two optional inputs extend the structured-code output:</w:t>
      </w:r>
    </w:p>
    <w:p>
      <w:pPr>
        <w:spacing w:after="120" w:line="276"/>
        <w:jc w:val="left"/>
      </w:pPr>
      <w:r>
        <w:rPr>
          <w:rFonts w:ascii="Arial" w:cs="Arial" w:eastAsia="Arial" w:hAnsi="Arial"/>
          <w:b/>
          <w:bCs/>
          <w:i w:val="false"/>
          <w:iCs w:val="false"/>
          <w:sz w:val="22"/>
          <w:szCs w:val="22"/>
        </w:rPr>
        <w:t xml:space="preserve">A demonstration layer surfaces note-derived content. </w:t>
      </w:r>
      <w:r>
        <w:rPr>
          <w:rFonts w:ascii="Arial" w:cs="Arial" w:eastAsia="Arial" w:hAnsi="Arial"/>
          <w:b w:val="false"/>
          <w:bCs w:val="false"/>
          <w:i w:val="false"/>
          <w:iCs w:val="false"/>
          <w:sz w:val="22"/>
          <w:szCs w:val="22"/>
        </w:rPr>
        <w:t xml:space="preserve">When include_note_measurements is enabled, the regex-based note extraction module’s outputs (ALSFRS-R total and subdomain scores, ECAS scores, FVC % predicted, gene-symbol mentions) are folded into the Phenopacket as additional Measurements with LOINC codes and as enrichment to the interpretations block. Each such field is tagged with _provenance = note_extraction_demonstration so downstream consumers can identify it. We treat this layer as proof-of-concept that note-derived content can travel end-to-end through the pipeline as properly-coded Phenopacket fields; the ARC pipeline is not currently using it for production output, because the regex patterns are seed patterns intended for site-specific validation against real ARC narratives. The demonstration shows the plumbing works; the production decision is held back until clinical review of the patterns is complete. Other registries with a mature, validated NLP layer can flip the flag without code changes and have the structure already in place.</w:t>
      </w:r>
    </w:p>
    <w:p>
      <w:pPr>
        <w:spacing w:after="120" w:line="276"/>
        <w:jc w:val="left"/>
      </w:pPr>
      <w:r>
        <w:rPr>
          <w:rFonts w:ascii="Arial" w:cs="Arial" w:eastAsia="Arial" w:hAnsi="Arial"/>
          <w:b/>
          <w:bCs/>
          <w:i w:val="false"/>
          <w:iCs w:val="false"/>
          <w:sz w:val="22"/>
          <w:szCs w:val="22"/>
        </w:rPr>
        <w:t xml:space="preserve">A production-grade genetic-data path accepts variant findings curated outside the EHR pipeline. </w:t>
      </w:r>
      <w:r>
        <w:rPr>
          <w:rFonts w:ascii="Arial" w:cs="Arial" w:eastAsia="Arial" w:hAnsi="Arial"/>
          <w:b w:val="false"/>
          <w:bCs w:val="false"/>
          <w:i w:val="false"/>
          <w:iCs w:val="false"/>
          <w:sz w:val="22"/>
          <w:szCs w:val="22"/>
        </w:rPr>
        <w:t xml:space="preserve">ARC variant data lives in a separate dataset under a different patient identifier system, and similar splits are common in registries (research-only VCFs, CLIA-lab reports, outside-of-EHR genetic-counseling records). The module accepts an external_genetics_csv parameter pointing at a curated CSV with columns patient_id, gene_symbol, hgnc_id, hgvs, pathogenicity, zygosity, and source. Rows are emitted as proper GenomicInterpretation entries with HGNC-coded geneContext, HGVS variant descriptors, GENO-coded zygosity, and the Phenopackets AcmgPathogenicityClassification enum. The interpretations block is then marked progressStatus: COMPLETED. When the CSV is absent, the interpretations block falls back to a note-derived demonstration (if note extraction captured a gene mention) or a clearly-labeled placeholder marked _placeholder: true with an explanatory _comment, so downstream consumers see the gap and treat the Phenopacket accordingly.</w:t>
      </w:r>
    </w:p>
    <w:p>
      <w:pPr>
        <w:spacing w:after="120" w:line="276"/>
        <w:jc w:val="left"/>
      </w:pPr>
      <w:r>
        <w:rPr>
          <w:rFonts w:ascii="Arial" w:cs="Arial" w:eastAsia="Arial" w:hAnsi="Arial"/>
          <w:sz w:val="22"/>
          <w:szCs w:val="22"/>
        </w:rPr>
        <w:t xml:space="preserve">The combination provides three distinct operating modes that match the way real registries work: structured-only (no NLP, no external genetics; safe default for registries whose pipelines are not yet mature on either front), structured plus curated genetics (production for registries with manually-maintained variant data), and structured plus NLP demonstration plus curated genetics (for registries with validated note extraction).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6A4C9C" w:sz="6"/>
              <w:left w:val="dashed" w:color="6A4C9C" w:sz="6"/>
              <w:bottom w:val="dashed" w:color="6A4C9C" w:sz="6"/>
              <w:right w:val="dashed" w:color="6A4C9C" w:sz="6"/>
            </w:tcBorders>
            <w:shd w:fill="F5F0FA" w:val="clear"/>
            <w:tcMar>
              <w:top w:type="dxa" w:w="280"/>
              <w:left w:type="dxa" w:w="200"/>
              <w:bottom w:type="dxa" w:w="280"/>
              <w:right w:type="dxa" w:w="200"/>
            </w:tcMar>
          </w:tcPr>
          <w:p>
            <w:pPr>
              <w:spacing w:after="80"/>
              <w:jc w:val="center"/>
            </w:pPr>
            <w:r>
              <w:rPr>
                <w:rFonts w:ascii="Arial" w:cs="Arial" w:eastAsia="Arial" w:hAnsi="Arial"/>
                <w:b/>
                <w:bCs/>
                <w:color w:val="6A4C9C"/>
                <w:sz w:val="22"/>
                <w:szCs w:val="22"/>
              </w:rPr>
              <w:t xml:space="preserve">[ FIGURE 5 PLACEHOLDER ]</w:t>
            </w:r>
          </w:p>
          <w:p>
            <w:pPr>
              <w:spacing w:after="80"/>
              <w:jc w:val="center"/>
            </w:pPr>
            <w:r>
              <w:rPr>
                <w:rFonts w:ascii="Arial" w:cs="Arial" w:eastAsia="Arial" w:hAnsi="Arial"/>
                <w:i/>
                <w:iCs/>
                <w:color w:val="6A4C9C"/>
                <w:sz w:val="22"/>
                <w:szCs w:val="22"/>
              </w:rPr>
              <w:t xml:space="preserve">Phenopackets output structure</w:t>
            </w:r>
          </w:p>
          <w:p>
            <w:pPr>
              <w:jc w:val="center"/>
            </w:pPr>
            <w:r>
              <w:rPr>
                <w:rFonts w:ascii="Arial" w:cs="Arial" w:eastAsia="Arial" w:hAnsi="Arial"/>
                <w:color w:val="888888"/>
                <w:sz w:val="18"/>
                <w:szCs w:val="18"/>
              </w:rPr>
              <w:t xml:space="preserve">Three-panel screenshot. Left: a per-patient &lt;patient_id&gt;.json showing subject, phenotypicFeatures (HPO), diseases (Mondo), measurements split into structured pass-through (LOINC labs/vitals) and the demonstration layer (note-derived ALSFRS-R), medicalActions, the interpretations block populated from the external genetics CSV with HGNC + HGVS + ACMG, and metaData.resources with vocabulary versions. Middle: the per-cohort summary.csv showing the measurements_structured vs measurements_note_demo split. Right: unmapped_codes.csv ranked by frequency.</w:t>
            </w:r>
          </w:p>
        </w:tc>
      </w:tr>
    </w:tbl>
    <w:p>
      <w:pPr>
        <w:spacing w:after="200" w:line="276"/>
        <w:jc w:val="left"/>
      </w:pPr>
      <w:r>
        <w:rPr>
          <w:rFonts w:ascii="Arial" w:cs="Arial" w:eastAsia="Arial" w:hAnsi="Arial"/>
          <w:b/>
          <w:bCs/>
          <w:i w:val="false"/>
          <w:iCs w:val="false"/>
          <w:sz w:val="22"/>
          <w:szCs w:val="22"/>
        </w:rPr>
        <w:t xml:space="preserve">Figure 5. </w:t>
      </w:r>
      <w:r>
        <w:rPr>
          <w:rFonts w:ascii="Arial" w:cs="Arial" w:eastAsia="Arial" w:hAnsi="Arial"/>
          <w:b w:val="false"/>
          <w:bCs w:val="false"/>
          <w:i/>
          <w:iCs/>
          <w:sz w:val="22"/>
          <w:szCs w:val="22"/>
        </w:rPr>
        <w:t xml:space="preserve">GA4GH Phenopackets v2 output.</w:t>
      </w:r>
      <w:r>
        <w:rPr>
          <w:rFonts w:ascii="Arial" w:cs="Arial" w:eastAsia="Arial" w:hAnsi="Arial"/>
          <w:b w:val="false"/>
          <w:bCs w:val="false"/>
          <w:i/>
          <w:iCs/>
          <w:sz w:val="22"/>
          <w:szCs w:val="22"/>
        </w:rPr>
        <w:t xml:space="preserve"> One Phenopacket per patient (left), plus a cohort document, summary CSV, and unmapped codes report (middle, right). The structured-code path produces a complete Phenopacket without NLP or external linkage; the demonstration layer and external-genetics CSV are clean optional extensions that adopters can flip on as their pipelines mature.</w:t>
      </w:r>
    </w:p>
    <w:p>
      <w:pPr>
        <w:pStyle w:val="Heading2"/>
        <w:spacing w:after="120" w:before="200"/>
      </w:pPr>
      <w:r>
        <w:rPr>
          <w:rFonts w:ascii="Arial" w:cs="Arial" w:eastAsia="Arial" w:hAnsi="Arial"/>
          <w:b/>
          <w:bCs/>
          <w:i/>
          <w:iCs/>
          <w:sz w:val="24"/>
          <w:szCs w:val="24"/>
        </w:rPr>
        <w:t xml:space="preserve">Stage 9b — Mondo-OMOP bridge and rare-disease cohort builder (separate module)</w:t>
      </w:r>
    </w:p>
    <w:p>
      <w:pPr>
        <w:spacing w:after="120" w:line="276"/>
        <w:jc w:val="left"/>
      </w:pPr>
      <w:r>
        <w:rPr>
          <w:rFonts w:ascii="Arial" w:cs="Arial" w:eastAsia="Arial" w:hAnsi="Arial"/>
          <w:sz w:val="22"/>
          <w:szCs w:val="22"/>
        </w:rPr>
        <w:t xml:space="preserve">Phenopackets ETL runs the source-to-Mondo direction (a record’s ICD-10 or SNOMED code is mapped forward to the Mondo disease ontology for inclusion in the Phenopacket). The inverse operation — starting from a Mondo term and finding every source-code record that should belong to a cohort defined by that term — is a recurring registry workflow that the Phenopackets ETL alone does not address. We package this as a companion utility, mondo_omop_bridge.py, adapted with attribution from the Monarch Initiative’s mondo2omop repository [22, repository: github.com/monarch-initiative/mondo2omop, MIT-licensed]. The module loads a Mondo Knowledge Graph eXchange (KGX) release, builds a directed graph of Mondo’s subclass_of relationships restricted to descendants of MONDO:0700096 (human disease) and excluding descendants of disease susceptibility, disease characteristic, and injury, parses Mondo’s curated same_as cross-references to ICD-10-CM, SNOMED CT, and MeSH, and emits both a master mapping table and per-target cohort definitions. The cohort definitions are produced for any user-specified Mondo ID by computing the set of descendants and enumerating the source codes that map to any descendant; when an Athena vocabulary directory is supplied the cohort is additionally joined to OMOP standard concept_ids in the Condition domain, producing a ready-to-use filter list for CONDITION_OCCURRENCE.condition_concept_id. Rare-disease subset flags (GARD, NORD, Orphanet, Mondo) are preserved on every output row, supporting cohort enrichment for rare-disease research and grant applications. For ALS TDI in particular, building a cohort against MONDO:0019056 (motor neuron disease) automates what was previously a manual code-enumeration task spanning ALS, primary lateral sclerosis, progressive muscular atrophy, ALS-FTD overlap, and the increasing list of gene-named hereditary ALS subtypes.</w:t>
      </w:r>
    </w:p>
    <w:p>
      <w:pPr>
        <w:pStyle w:val="Heading2"/>
        <w:spacing w:after="120" w:before="200"/>
      </w:pPr>
      <w:r>
        <w:rPr>
          <w:rFonts w:ascii="Arial" w:cs="Arial" w:eastAsia="Arial" w:hAnsi="Arial"/>
          <w:b/>
          <w:bCs/>
          <w:i/>
          <w:iCs/>
          <w:sz w:val="24"/>
          <w:szCs w:val="24"/>
        </w:rPr>
        <w:t xml:space="preserve">Quality control framework</w:t>
      </w:r>
    </w:p>
    <w:p>
      <w:pPr>
        <w:spacing w:after="120" w:line="276"/>
        <w:jc w:val="left"/>
      </w:pPr>
      <w:r>
        <w:rPr>
          <w:rFonts w:ascii="Arial" w:cs="Arial" w:eastAsia="Arial" w:hAnsi="Arial"/>
          <w:sz w:val="22"/>
          <w:szCs w:val="22"/>
        </w:rPr>
        <w:t xml:space="preserve">Registry Forge produces six classes of output — dashboard JSON, master CSVs, code inventory, OMOP CDM tables, Phenopackets JSON documents, and note-extraction CSV — all derived from the same underlying bundle. A defect anywhere upstream propagates to every downstream artifact. We therefore frame quality control as a recurring, multi-tier discipline rather than a one-time validation step. The framework has five tiers, ordered from cheapest and most automatable to most labor-intensive.</w:t>
      </w:r>
    </w:p>
    <w:p>
      <w:pPr>
        <w:spacing w:after="120" w:line="276"/>
        <w:jc w:val="left"/>
      </w:pPr>
      <w:r>
        <w:rPr>
          <w:rFonts w:ascii="Arial" w:cs="Arial" w:eastAsia="Arial" w:hAnsi="Arial"/>
          <w:b/>
          <w:bCs/>
          <w:i w:val="false"/>
          <w:iCs w:val="false"/>
          <w:sz w:val="22"/>
          <w:szCs w:val="22"/>
        </w:rPr>
        <w:t xml:space="preserve">Tier 1 — Schema validation. </w:t>
      </w:r>
      <w:r>
        <w:rPr>
          <w:rFonts w:ascii="Arial" w:cs="Arial" w:eastAsia="Arial" w:hAnsi="Arial"/>
          <w:b w:val="false"/>
          <w:bCs w:val="false"/>
          <w:i w:val="false"/>
          <w:iCs w:val="false"/>
          <w:sz w:val="22"/>
          <w:szCs w:val="22"/>
        </w:rPr>
        <w:t xml:space="preserve">Every output passes a schema check before leaving the workstation. The OMOP outputs validate against the published OHDSI CDM v5.4 DDL [14]. The Phenopackets outputs validate against the GA4GH Phenopacket v2 JSON Schema [22]. The dashboard JSON validates against an internal schema embedded in run_pipeline.py. CSV outputs validate as fixed-column UTF-8 with BOM. Schema validation catches the most common defect class (renamed column, missing required field) in seconds and is run automatically at the end of every pipeline invocation. A failed schema check fails the run.</w:t>
      </w:r>
    </w:p>
    <w:p>
      <w:pPr>
        <w:spacing w:after="120" w:line="276"/>
        <w:jc w:val="left"/>
      </w:pPr>
      <w:r>
        <w:rPr>
          <w:rFonts w:ascii="Arial" w:cs="Arial" w:eastAsia="Arial" w:hAnsi="Arial"/>
          <w:b/>
          <w:bCs/>
          <w:i w:val="false"/>
          <w:iCs w:val="false"/>
          <w:sz w:val="22"/>
          <w:szCs w:val="22"/>
        </w:rPr>
        <w:t xml:space="preserve">Tier 2 — Mapping coverage. </w:t>
      </w:r>
      <w:r>
        <w:rPr>
          <w:rFonts w:ascii="Arial" w:cs="Arial" w:eastAsia="Arial" w:hAnsi="Arial"/>
          <w:b w:val="false"/>
          <w:bCs w:val="false"/>
          <w:i w:val="false"/>
          <w:iCs w:val="false"/>
          <w:sz w:val="22"/>
          <w:szCs w:val="22"/>
        </w:rPr>
        <w:t xml:space="preserve">The Stage 7 code inventory and the unmapped-codes reports from the OMOP and Phenopackets ETLs are the inputs to this tier. Three numbers are tracked per run: total unique source codes (should be stable across runs; sudden change indicates upstream data-source change), the concept_id != 0 rate in OMOP outputs (mapping coverage to standard concepts), and the unmapped_codes.csv row count from Phenopackets ETL ranked by frequency. Registries set thresholds that fit their disease area — for example, less than 10% unmapped on the top 100 most-referenced problem codes — and the pipeline fails when a run breaches them. Unmapped is not the same as wrong; this tier is necessary but not sufficient. Mappings that are present but incorrect are caught only by Tier 4.</w:t>
      </w:r>
    </w:p>
    <w:p>
      <w:pPr>
        <w:spacing w:after="120" w:line="276"/>
        <w:jc w:val="left"/>
      </w:pPr>
      <w:r>
        <w:rPr>
          <w:rFonts w:ascii="Arial" w:cs="Arial" w:eastAsia="Arial" w:hAnsi="Arial"/>
          <w:b/>
          <w:bCs/>
          <w:i w:val="false"/>
          <w:iCs w:val="false"/>
          <w:sz w:val="22"/>
          <w:szCs w:val="22"/>
        </w:rPr>
        <w:t xml:space="preserve">Tier 3 — Cross-output consistency. </w:t>
      </w:r>
      <w:r>
        <w:rPr>
          <w:rFonts w:ascii="Arial" w:cs="Arial" w:eastAsia="Arial" w:hAnsi="Arial"/>
          <w:b w:val="false"/>
          <w:bCs w:val="false"/>
          <w:i w:val="false"/>
          <w:iCs w:val="false"/>
          <w:sz w:val="22"/>
          <w:szCs w:val="22"/>
        </w:rPr>
        <w:t xml:space="preserve">The same patient should appear consistently across every output. Patient counts are checked against the patients[] array, the OMOP PERSON.csv, and the Phenopackets cohort. Per-patient medication counts are compared between patient_master_fhir.csv and OMOP DRUG_EXPOSURE.csv. Per-patient problem counts are compared between patient_master.csv and the union of OMOP CONDITION_OCCURRENCE.csv plus Phenopackets phenotypicFeatures + diseases. ALSFRS-R values from note_extractions.csv are checked for presence as Measurements in the corresponding Phenopacket. Discrepancies are typically one of three things — a record filtered at one stage but not another, a code mapping that diverged, or a patient_id normalization that slipped between stages — and the cross-output diff is the fastest way to localize them.</w:t>
      </w:r>
    </w:p>
    <w:p>
      <w:pPr>
        <w:spacing w:after="120" w:line="276"/>
        <w:jc w:val="left"/>
      </w:pPr>
      <w:r>
        <w:rPr>
          <w:rFonts w:ascii="Arial" w:cs="Arial" w:eastAsia="Arial" w:hAnsi="Arial"/>
          <w:b/>
          <w:bCs/>
          <w:i w:val="false"/>
          <w:iCs w:val="false"/>
          <w:sz w:val="22"/>
          <w:szCs w:val="22"/>
        </w:rPr>
        <w:t xml:space="preserve">Tier 4 — Spot-review by a clinician. </w:t>
      </w:r>
      <w:r>
        <w:rPr>
          <w:rFonts w:ascii="Arial" w:cs="Arial" w:eastAsia="Arial" w:hAnsi="Arial"/>
          <w:b w:val="false"/>
          <w:bCs w:val="false"/>
          <w:i w:val="false"/>
          <w:iCs w:val="false"/>
          <w:sz w:val="22"/>
          <w:szCs w:val="22"/>
        </w:rPr>
        <w:t xml:space="preserve">Tiers 1–3 catch structural defects; Tier 4 catches semantic defects. Recommended cadence is monthly during pilot deployment, quarterly thereafter, after every change to seed mapping tables, and after every Athena vocabulary release update. The recommended sample is a stratified random sample of N=5–10 patients. For each, the reviewer compares the dashboard’s per-patient view side-by-side with the patient’s rows in patient_master.csv and the corresponding &lt;patient_id&gt;.json Phenopacket. Discrepancies fall into a small number of buckets — wrong code mapping, missed phenotype, mis-extracted regex value, date drift, identifier drift — each with a known fix path documented in the QC framework. The output of Tier 4 is committed to version control as a reviewer worksheet, providing a paper trail of QC findings and the seed-table edits that resulted.</w:t>
      </w:r>
    </w:p>
    <w:p>
      <w:pPr>
        <w:spacing w:after="120" w:line="276"/>
        <w:jc w:val="left"/>
      </w:pPr>
      <w:r>
        <w:rPr>
          <w:rFonts w:ascii="Arial" w:cs="Arial" w:eastAsia="Arial" w:hAnsi="Arial"/>
          <w:b/>
          <w:bCs/>
          <w:i w:val="false"/>
          <w:iCs w:val="false"/>
          <w:sz w:val="22"/>
          <w:szCs w:val="22"/>
        </w:rPr>
        <w:t xml:space="preserve">Tier 5 — Synthetic regression test. </w:t>
      </w:r>
      <w:r>
        <w:rPr>
          <w:rFonts w:ascii="Arial" w:cs="Arial" w:eastAsia="Arial" w:hAnsi="Arial"/>
          <w:b w:val="false"/>
          <w:bCs w:val="false"/>
          <w:i w:val="false"/>
          <w:iCs w:val="false"/>
          <w:sz w:val="22"/>
          <w:szCs w:val="22"/>
        </w:rPr>
        <w:t xml:space="preserve">The synthetic demonstration cohort is the regression bedrock. Every code path in the pipeline runs against a bundle whose answers are known, and the cohort is small enough to execute end-to-end in seconds, making this a reasonable pre-commit / continuous integration check. When a defect is fixed in production, a fixture exercising that code path is added to the synthetic cohort — a clinically-realistic narrative phrase, a previously-unmapped code — and the regression-assert script confirms the pipeline still produces the expected output. We use this discipline to prevent the most common silent-regression mode in long-lived pipelines: a fix in one place that breaks an earlier fix elsewhere.</w:t>
      </w:r>
    </w:p>
    <w:p>
      <w:pPr>
        <w:spacing w:after="120" w:line="276"/>
        <w:jc w:val="left"/>
      </w:pPr>
      <w:r>
        <w:rPr>
          <w:rFonts w:ascii="Arial" w:cs="Arial" w:eastAsia="Arial" w:hAnsi="Arial"/>
          <w:sz w:val="22"/>
          <w:szCs w:val="22"/>
        </w:rPr>
        <w:t xml:space="preserve">Reproducibility expectations underlying all five tiers: every output that depends on a vocabulary records the vocabulary version it used. OMOP’s CDM_SOURCE.csv records the standard-concept set; Phenopackets’ metaData.resources block records HPO, Mondo, LOINC, RxNorm, SNOMED, ICD-10-CM, and HGNC versions. The output folder names — omop_output_&lt;vocab_release&gt;/ and phenopackets_output_HPO-&lt;release&gt;_Mondo-&lt;release&gt;/ — carry the same information at the filesystem level. The combination means that for any output file, the exact mapping decisions that produced it are reconstructible from a single read of the file plus knowledge of the input bundle.</w:t>
      </w:r>
    </w:p>
    <w:p>
      <w:pPr>
        <w:pStyle w:val="Heading2"/>
        <w:spacing w:after="120" w:before="200"/>
      </w:pPr>
      <w:r>
        <w:rPr>
          <w:rFonts w:ascii="Arial" w:cs="Arial" w:eastAsia="Arial" w:hAnsi="Arial"/>
          <w:b/>
          <w:bCs/>
          <w:i/>
          <w:iCs/>
          <w:sz w:val="24"/>
          <w:szCs w:val="24"/>
        </w:rPr>
        <w:t xml:space="preserve">Dashboard and CSV export</w:t>
      </w:r>
    </w:p>
    <w:p>
      <w:pPr>
        <w:spacing w:after="120" w:line="276"/>
        <w:jc w:val="left"/>
      </w:pPr>
      <w:r>
        <w:rPr>
          <w:rFonts w:ascii="Arial" w:cs="Arial" w:eastAsia="Arial" w:hAnsi="Arial"/>
          <w:sz w:val="22"/>
          <w:szCs w:val="22"/>
        </w:rPr>
        <w:t xml:space="preserve">The single-file HTML dashboard renders the merged bundle entirely client-side. For each resource category, the dashboard exposes a per-tab “Export CSV” button that downloads the currently-displayed records as a properly-escaped CSV (RFC 4180-conformant; UTF-8 with BOM). A patient-level “Export full record” button exports a single patient’s complete dataset; a cohort-level “Export Patient List” exports demographics for every patient in the bundle. These export paths preserve the source provenance tags (source: ccda or source: fhir) so downstream analytic workflows can re-create the same dedupe and weighting logic the dashboard applies internally.</w:t>
      </w:r>
    </w:p>
    <w:p>
      <w:pPr>
        <w:pStyle w:val="Heading2"/>
        <w:spacing w:after="120" w:before="200"/>
      </w:pPr>
      <w:r>
        <w:rPr>
          <w:rFonts w:ascii="Arial" w:cs="Arial" w:eastAsia="Arial" w:hAnsi="Arial"/>
          <w:b/>
          <w:bCs/>
          <w:i/>
          <w:iCs/>
          <w:sz w:val="24"/>
          <w:szCs w:val="24"/>
        </w:rPr>
        <w:t xml:space="preserve">Public demonstration</w:t>
      </w:r>
    </w:p>
    <w:p>
      <w:pPr>
        <w:spacing w:after="120" w:line="276"/>
        <w:jc w:val="left"/>
      </w:pPr>
      <w:r>
        <w:rPr>
          <w:rFonts w:ascii="Arial" w:cs="Arial" w:eastAsia="Arial" w:hAnsi="Arial"/>
          <w:sz w:val="22"/>
          <w:szCs w:val="22"/>
        </w:rPr>
        <w:t xml:space="preserve">To allow other patient registries to evaluate the pipeline before adopting it, we publish a fully-synthetic interactive demonstration of the dashboard and a downloadable bundle of every artifact (run_pipeline.py, omop_etl.py, note_extraction.py, dashboard.html, sample CCDA + FHIR Bundle, chunked CSVs ready to drop into the pipeline). The demonstration is hosted via GitHub Pages and embedded in the project’s MkDocs documentation; the dashboard auto-loads its synthetic JSON bundle on page open and exposes the same export buttons as the production tool. The synthetic patient is a single fully-coded ALS case (“Jane Marie Demo”) with 83 records covering every category, with codes verified against RxNav, SNOMED CT, ICD-10-CM, LOINC, CVX, and CPT-4 to avoid the common demonstration anti-pattern of plausible-looking but invalid codes. Registry staff at other organizations can verify look and behavior before requesting access to the production code, without any PHI exposure or data-use-agreement overhead.</w:t>
      </w:r>
    </w:p>
    <w:p>
      <w:pPr>
        <w:pStyle w:val="Heading1"/>
        <w:spacing w:after="160" w:before="280"/>
      </w:pPr>
      <w:r>
        <w:rPr>
          <w:rFonts w:ascii="Arial" w:cs="Arial" w:eastAsia="Arial" w:hAnsi="Arial"/>
          <w:b/>
          <w:bCs/>
          <w:sz w:val="28"/>
          <w:szCs w:val="28"/>
        </w:rPr>
        <w:t xml:space="preserve">RESULTS</w:t>
      </w:r>
    </w:p>
    <w:p>
      <w:pPr>
        <w:pStyle w:val="Heading2"/>
        <w:spacing w:after="120" w:before="200"/>
      </w:pPr>
      <w:r>
        <w:rPr>
          <w:rFonts w:ascii="Arial" w:cs="Arial" w:eastAsia="Arial" w:hAnsi="Arial"/>
          <w:b/>
          <w:bCs/>
          <w:i/>
          <w:iCs/>
          <w:sz w:val="24"/>
          <w:szCs w:val="24"/>
        </w:rPr>
        <w:t xml:space="preserve">Health systems represented in the dataset</w:t>
      </w:r>
    </w:p>
    <w:p>
      <w:pPr>
        <w:spacing w:after="120" w:line="276"/>
        <w:jc w:val="left"/>
      </w:pPr>
      <w:r>
        <w:rPr>
          <w:rFonts w:ascii="Arial" w:cs="Arial" w:eastAsia="Arial" w:hAnsi="Arial"/>
          <w:sz w:val="22"/>
          <w:szCs w:val="22"/>
        </w:rPr>
        <w:t xml:space="preserve">Patient-directed SMART on FHIR retrievals returned data from multiple US health systems across the country. We inferred the source health system for each record by inspecting the meta.source URLs of FHIR Bundle entries, the fullUrl identifiers, and location/provider strings recorded in C-CDA encounters; the inference logic is published as part of the pipeline source code (analyze_hospital_systems.py). Table 1 lists the distinct health systems detected, with the EHR vendor used by each, and the volume of records contributed.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300"/>
        <w:gridCol w:w="1900"/>
        <w:gridCol w:w="1500"/>
      </w:tblGrid>
      <w:tr>
        <w:trPr>
          <w:tblHeader/>
        </w:trPr>
        <w:tc>
          <w:tcPr>
            <w:tcW w:type="dxa" w:w="3000"/>
            <w:tcBorders>
              <w:top w:val="single" w:color="888888" w:sz="4"/>
              <w:left w:val="single" w:color="888888" w:sz="4"/>
              <w:bottom w:val="single" w:color="888888" w:sz="4"/>
              <w:right w:val="single" w:color="888888" w:sz="4"/>
            </w:tcBorders>
            <w:shd w:fill="E8E0F0" w:val="clear"/>
            <w:tcMar>
              <w:top w:type="dxa" w:w="80"/>
              <w:left w:type="dxa" w:w="120"/>
              <w:bottom w:type="dxa" w:w="80"/>
              <w:right w:type="dxa" w:w="120"/>
            </w:tcMar>
          </w:tcPr>
          <w:p>
            <w:pPr>
              <w:jc w:val="left"/>
            </w:pPr>
            <w:r>
              <w:rPr>
                <w:rFonts w:ascii="Arial" w:cs="Arial" w:eastAsia="Arial" w:hAnsi="Arial"/>
                <w:b/>
                <w:bCs/>
                <w:sz w:val="20"/>
                <w:szCs w:val="20"/>
              </w:rPr>
              <w:t xml:space="preserve">Health System</w:t>
            </w:r>
          </w:p>
        </w:tc>
        <w:tc>
          <w:tcPr>
            <w:tcW w:type="dxa" w:w="1700"/>
            <w:tcBorders>
              <w:top w:val="single" w:color="888888" w:sz="4"/>
              <w:left w:val="single" w:color="888888" w:sz="4"/>
              <w:bottom w:val="single" w:color="888888" w:sz="4"/>
              <w:right w:val="single" w:color="888888" w:sz="4"/>
            </w:tcBorders>
            <w:shd w:fill="E8E0F0" w:val="clear"/>
            <w:tcMar>
              <w:top w:type="dxa" w:w="80"/>
              <w:left w:type="dxa" w:w="120"/>
              <w:bottom w:type="dxa" w:w="80"/>
              <w:right w:type="dxa" w:w="120"/>
            </w:tcMar>
          </w:tcPr>
          <w:p>
            <w:pPr>
              <w:jc w:val="left"/>
            </w:pPr>
            <w:r>
              <w:rPr>
                <w:rFonts w:ascii="Arial" w:cs="Arial" w:eastAsia="Arial" w:hAnsi="Arial"/>
                <w:b/>
                <w:bCs/>
                <w:sz w:val="20"/>
                <w:szCs w:val="20"/>
              </w:rPr>
              <w:t xml:space="preserve">EHR Vendor</w:t>
            </w:r>
          </w:p>
        </w:tc>
        <w:tc>
          <w:tcPr>
            <w:tcW w:type="dxa" w:w="1300"/>
            <w:tcBorders>
              <w:top w:val="single" w:color="888888" w:sz="4"/>
              <w:left w:val="single" w:color="888888" w:sz="4"/>
              <w:bottom w:val="single" w:color="888888" w:sz="4"/>
              <w:right w:val="single" w:color="888888" w:sz="4"/>
            </w:tcBorders>
            <w:shd w:fill="E8E0F0" w:val="clear"/>
            <w:tcMar>
              <w:top w:type="dxa" w:w="80"/>
              <w:left w:type="dxa" w:w="120"/>
              <w:bottom w:type="dxa" w:w="80"/>
              <w:right w:type="dxa" w:w="120"/>
            </w:tcMar>
          </w:tcPr>
          <w:p>
            <w:pPr>
              <w:jc w:val="left"/>
            </w:pPr>
            <w:r>
              <w:rPr>
                <w:rFonts w:ascii="Arial" w:cs="Arial" w:eastAsia="Arial" w:hAnsi="Arial"/>
                <w:b/>
                <w:bCs/>
                <w:sz w:val="20"/>
                <w:szCs w:val="20"/>
              </w:rPr>
              <w:t xml:space="preserve">Patients</w:t>
            </w:r>
          </w:p>
        </w:tc>
        <w:tc>
          <w:tcPr>
            <w:tcW w:type="dxa" w:w="1900"/>
            <w:tcBorders>
              <w:top w:val="single" w:color="888888" w:sz="4"/>
              <w:left w:val="single" w:color="888888" w:sz="4"/>
              <w:bottom w:val="single" w:color="888888" w:sz="4"/>
              <w:right w:val="single" w:color="888888" w:sz="4"/>
            </w:tcBorders>
            <w:shd w:fill="E8E0F0" w:val="clear"/>
            <w:tcMar>
              <w:top w:type="dxa" w:w="80"/>
              <w:left w:type="dxa" w:w="120"/>
              <w:bottom w:type="dxa" w:w="80"/>
              <w:right w:type="dxa" w:w="120"/>
            </w:tcMar>
          </w:tcPr>
          <w:p>
            <w:pPr>
              <w:jc w:val="left"/>
            </w:pPr>
            <w:r>
              <w:rPr>
                <w:rFonts w:ascii="Arial" w:cs="Arial" w:eastAsia="Arial" w:hAnsi="Arial"/>
                <w:b/>
                <w:bCs/>
                <w:sz w:val="20"/>
                <w:szCs w:val="20"/>
              </w:rPr>
              <w:t xml:space="preserve">FHIR Resources</w:t>
            </w:r>
          </w:p>
        </w:tc>
        <w:tc>
          <w:tcPr>
            <w:tcW w:type="dxa" w:w="1500"/>
            <w:tcBorders>
              <w:top w:val="single" w:color="888888" w:sz="4"/>
              <w:left w:val="single" w:color="888888" w:sz="4"/>
              <w:bottom w:val="single" w:color="888888" w:sz="4"/>
              <w:right w:val="single" w:color="888888" w:sz="4"/>
            </w:tcBorders>
            <w:shd w:fill="E8E0F0" w:val="clear"/>
            <w:tcMar>
              <w:top w:type="dxa" w:w="80"/>
              <w:left w:type="dxa" w:w="120"/>
              <w:bottom w:type="dxa" w:w="80"/>
              <w:right w:type="dxa" w:w="120"/>
            </w:tcMar>
          </w:tcPr>
          <w:p>
            <w:pPr>
              <w:jc w:val="left"/>
            </w:pPr>
            <w:r>
              <w:rPr>
                <w:rFonts w:ascii="Arial" w:cs="Arial" w:eastAsia="Arial" w:hAnsi="Arial"/>
                <w:b/>
                <w:bCs/>
                <w:sz w:val="20"/>
                <w:szCs w:val="20"/>
              </w:rPr>
              <w:t xml:space="preserve">CCDA Encounters</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Mass General Brigham</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Epic</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26</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47,182</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1,212</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Mayo Clinic</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Epic</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18</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31,945</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868</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Johns Hopkins Health System</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Epic</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18,237</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498</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Cleveland Clinic</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Epic</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5,884</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204</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UPMC</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Epic / Cerner</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3,092</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171</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Mount Sinai Health System</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Epic</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1,648</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138</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Other / unidentified source</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1,611</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350</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bCs/>
                <w:sz w:val="20"/>
                <w:szCs w:val="20"/>
              </w:rPr>
              <w:t xml:space="preserve">Total</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bCs/>
                <w:sz w:val="20"/>
                <w:szCs w:val="20"/>
              </w:rPr>
              <w:t xml:space="preserve">71</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bCs/>
                <w:sz w:val="20"/>
                <w:szCs w:val="20"/>
              </w:rPr>
              <w:t xml:space="preserve">109,599</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bCs/>
                <w:sz w:val="20"/>
                <w:szCs w:val="20"/>
              </w:rPr>
              <w:t xml:space="preserve">3,441</w:t>
            </w:r>
          </w:p>
        </w:tc>
      </w:tr>
    </w:tbl>
    <w:p>
      <w:pPr>
        <w:spacing w:after="200" w:line="276"/>
        <w:jc w:val="left"/>
      </w:pPr>
      <w:r>
        <w:rPr>
          <w:rFonts w:ascii="Arial" w:cs="Arial" w:eastAsia="Arial" w:hAnsi="Arial"/>
          <w:b/>
          <w:bCs/>
          <w:i w:val="false"/>
          <w:iCs w:val="false"/>
          <w:sz w:val="22"/>
          <w:szCs w:val="22"/>
        </w:rPr>
        <w:t xml:space="preserve">Table 1. </w:t>
      </w:r>
      <w:r>
        <w:rPr>
          <w:rFonts w:ascii="Arial" w:cs="Arial" w:eastAsia="Arial" w:hAnsi="Arial"/>
          <w:b w:val="false"/>
          <w:bCs w:val="false"/>
          <w:i/>
          <w:iCs/>
          <w:sz w:val="22"/>
          <w:szCs w:val="22"/>
        </w:rPr>
        <w:t xml:space="preserve">Health systems contributing data to the ARC Study via patient-directed SMART on FHIR.</w:t>
      </w:r>
      <w:r>
        <w:rPr>
          <w:rFonts w:ascii="Arial" w:cs="Arial" w:eastAsia="Arial" w:hAnsi="Arial"/>
          <w:b w:val="false"/>
          <w:bCs w:val="false"/>
          <w:i/>
          <w:iCs/>
          <w:sz w:val="22"/>
          <w:szCs w:val="22"/>
        </w:rPr>
        <w:t xml:space="preserve"> Counts reflect each record’s system of origin; patients seen at multiple institutions contribute records to multiple rows. All systems detected used Epic as their primary EHR, although the pipeline accepts data from any SMART on FHIR-conformant source.</w:t>
      </w:r>
    </w:p>
    <w:p>
      <w:pPr>
        <w:pStyle w:val="Heading2"/>
        <w:spacing w:after="120" w:before="200"/>
      </w:pPr>
      <w:r>
        <w:rPr>
          <w:rFonts w:ascii="Arial" w:cs="Arial" w:eastAsia="Arial" w:hAnsi="Arial"/>
          <w:b/>
          <w:bCs/>
          <w:i/>
          <w:iCs/>
          <w:sz w:val="24"/>
          <w:szCs w:val="24"/>
        </w:rPr>
        <w:t xml:space="preserve">Source format distribution</w:t>
      </w:r>
    </w:p>
    <w:p>
      <w:pPr>
        <w:spacing w:after="120" w:line="276"/>
        <w:jc w:val="left"/>
      </w:pPr>
      <w:r>
        <w:rPr>
          <w:rFonts w:ascii="Arial" w:cs="Arial" w:eastAsia="Arial" w:hAnsi="Arial"/>
          <w:sz w:val="22"/>
          <w:szCs w:val="22"/>
        </w:rPr>
        <w:t xml:space="preserve">The 22,686 assembled files were not, in fact, a uniform set of C-CDAs. Format detection at Stage 2 produced the distribution shown in Table 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400"/>
      </w:tblGrid>
      <w:tr>
        <w:trPr>
          <w:tblHeader/>
        </w:trPr>
        <w:tc>
          <w:tcPr>
            <w:tcW w:type="dxa" w:w="3000"/>
            <w:tcBorders>
              <w:top w:val="single" w:color="888888" w:sz="4"/>
              <w:left w:val="single" w:color="888888" w:sz="4"/>
              <w:bottom w:val="single" w:color="888888" w:sz="4"/>
              <w:right w:val="single" w:color="888888" w:sz="4"/>
            </w:tcBorders>
            <w:shd w:fill="E8E0F0" w:val="clear"/>
            <w:tcMar>
              <w:top w:type="dxa" w:w="80"/>
              <w:left w:type="dxa" w:w="120"/>
              <w:bottom w:type="dxa" w:w="80"/>
              <w:right w:type="dxa" w:w="120"/>
            </w:tcMar>
          </w:tcPr>
          <w:p>
            <w:pPr>
              <w:jc w:val="left"/>
            </w:pPr>
            <w:r>
              <w:rPr>
                <w:rFonts w:ascii="Arial" w:cs="Arial" w:eastAsia="Arial" w:hAnsi="Arial"/>
                <w:b/>
                <w:bCs/>
                <w:sz w:val="20"/>
                <w:szCs w:val="20"/>
              </w:rPr>
              <w:t xml:space="preserve">Format</w:t>
            </w:r>
          </w:p>
        </w:tc>
        <w:tc>
          <w:tcPr>
            <w:tcW w:type="dxa" w:w="1500"/>
            <w:tcBorders>
              <w:top w:val="single" w:color="888888" w:sz="4"/>
              <w:left w:val="single" w:color="888888" w:sz="4"/>
              <w:bottom w:val="single" w:color="888888" w:sz="4"/>
              <w:right w:val="single" w:color="888888" w:sz="4"/>
            </w:tcBorders>
            <w:shd w:fill="E8E0F0" w:val="clear"/>
            <w:tcMar>
              <w:top w:type="dxa" w:w="80"/>
              <w:left w:type="dxa" w:w="120"/>
              <w:bottom w:type="dxa" w:w="80"/>
              <w:right w:type="dxa" w:w="120"/>
            </w:tcMar>
          </w:tcPr>
          <w:p>
            <w:pPr>
              <w:jc w:val="left"/>
            </w:pPr>
            <w:r>
              <w:rPr>
                <w:rFonts w:ascii="Arial" w:cs="Arial" w:eastAsia="Arial" w:hAnsi="Arial"/>
                <w:b/>
                <w:bCs/>
                <w:sz w:val="20"/>
                <w:szCs w:val="20"/>
              </w:rPr>
              <w:t xml:space="preserve">Count</w:t>
            </w:r>
          </w:p>
        </w:tc>
        <w:tc>
          <w:tcPr>
            <w:tcW w:type="dxa" w:w="1500"/>
            <w:tcBorders>
              <w:top w:val="single" w:color="888888" w:sz="4"/>
              <w:left w:val="single" w:color="888888" w:sz="4"/>
              <w:bottom w:val="single" w:color="888888" w:sz="4"/>
              <w:right w:val="single" w:color="888888" w:sz="4"/>
            </w:tcBorders>
            <w:shd w:fill="E8E0F0" w:val="clear"/>
            <w:tcMar>
              <w:top w:type="dxa" w:w="80"/>
              <w:left w:type="dxa" w:w="120"/>
              <w:bottom w:type="dxa" w:w="80"/>
              <w:right w:type="dxa" w:w="120"/>
            </w:tcMar>
          </w:tcPr>
          <w:p>
            <w:pPr>
              <w:jc w:val="left"/>
            </w:pPr>
            <w:r>
              <w:rPr>
                <w:rFonts w:ascii="Arial" w:cs="Arial" w:eastAsia="Arial" w:hAnsi="Arial"/>
                <w:b/>
                <w:bCs/>
                <w:sz w:val="20"/>
                <w:szCs w:val="20"/>
              </w:rPr>
              <w:t xml:space="preserve">% of total</w:t>
            </w:r>
          </w:p>
        </w:tc>
        <w:tc>
          <w:tcPr>
            <w:tcW w:type="dxa" w:w="3400"/>
            <w:tcBorders>
              <w:top w:val="single" w:color="888888" w:sz="4"/>
              <w:left w:val="single" w:color="888888" w:sz="4"/>
              <w:bottom w:val="single" w:color="888888" w:sz="4"/>
              <w:right w:val="single" w:color="888888" w:sz="4"/>
            </w:tcBorders>
            <w:shd w:fill="E8E0F0" w:val="clear"/>
            <w:tcMar>
              <w:top w:type="dxa" w:w="80"/>
              <w:left w:type="dxa" w:w="120"/>
              <w:bottom w:type="dxa" w:w="80"/>
              <w:right w:type="dxa" w:w="120"/>
            </w:tcMar>
          </w:tcPr>
          <w:p>
            <w:pPr>
              <w:jc w:val="left"/>
            </w:pPr>
            <w:r>
              <w:rPr>
                <w:rFonts w:ascii="Arial" w:cs="Arial" w:eastAsia="Arial" w:hAnsi="Arial"/>
                <w:b/>
                <w:bCs/>
                <w:sz w:val="20"/>
                <w:szCs w:val="20"/>
              </w:rPr>
              <w:t xml:space="preserve">Detection signature</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Full C-CDA XML</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3,407</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15.0%</w:t>
            </w:r>
          </w:p>
        </w:tc>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&lt;?xml or &lt;ClinicalDocument</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HTML narrative fragment</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10,975</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48.4%</w:t>
            </w:r>
          </w:p>
        </w:tc>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&lt;div, &lt;p, &lt;span, &lt;br tags</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Epic RTF note</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7,784</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34.3%</w:t>
            </w:r>
          </w:p>
        </w:tc>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{\rtf1\epicV10801</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PDF document</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520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2.3%</w:t>
            </w:r>
          </w:p>
        </w:tc>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%PDF- magic bytes</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bCs/>
                <w:sz w:val="20"/>
                <w:szCs w:val="20"/>
              </w:rPr>
              <w:t xml:space="preserve">Total</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bCs/>
                <w:sz w:val="20"/>
                <w:szCs w:val="20"/>
              </w:rPr>
              <w:t xml:space="preserve">22,686</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bCs/>
                <w:sz w:val="20"/>
                <w:szCs w:val="20"/>
              </w:rPr>
              <w:t xml:space="preserve">100%</w:t>
            </w:r>
          </w:p>
        </w:tc>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bl>
    <w:p>
      <w:pPr>
        <w:spacing w:after="200" w:line="276"/>
        <w:jc w:val="left"/>
      </w:pPr>
      <w:r>
        <w:rPr>
          <w:rFonts w:ascii="Arial" w:cs="Arial" w:eastAsia="Arial" w:hAnsi="Arial"/>
          <w:b/>
          <w:bCs/>
          <w:i w:val="false"/>
          <w:iCs w:val="false"/>
          <w:sz w:val="22"/>
          <w:szCs w:val="22"/>
        </w:rPr>
        <w:t xml:space="preserve">Table 2. </w:t>
      </w:r>
      <w:r>
        <w:rPr>
          <w:rFonts w:ascii="Arial" w:cs="Arial" w:eastAsia="Arial" w:hAnsi="Arial"/>
          <w:b w:val="false"/>
          <w:bCs w:val="false"/>
          <w:i/>
          <w:iCs/>
          <w:sz w:val="22"/>
          <w:szCs w:val="22"/>
        </w:rPr>
        <w:t xml:space="preserve">Distribution of source formats discovered in the SMART on FHIR-acquired document repository.</w:t>
      </w:r>
      <w:r>
        <w:rPr>
          <w:rFonts w:ascii="Arial" w:cs="Arial" w:eastAsia="Arial" w:hAnsi="Arial"/>
          <w:b w:val="false"/>
          <w:bCs w:val="false"/>
          <w:i/>
          <w:iCs/>
          <w:sz w:val="22"/>
          <w:szCs w:val="22"/>
        </w:rPr>
        <w:t xml:space="preserve"> Initial inspection had assumed all 22,686 files were full C-CDA XML documents; magic-byte detection revealed four distinct underlying formats requiring separate parsers.</w:t>
      </w:r>
    </w:p>
    <w:p>
      <w:pPr>
        <w:pStyle w:val="Heading2"/>
        <w:spacing w:after="120" w:before="200"/>
      </w:pPr>
      <w:r>
        <w:rPr>
          <w:rFonts w:ascii="Arial" w:cs="Arial" w:eastAsia="Arial" w:hAnsi="Arial"/>
          <w:b/>
          <w:bCs/>
          <w:i/>
          <w:iCs/>
          <w:sz w:val="24"/>
          <w:szCs w:val="24"/>
        </w:rPr>
        <w:t xml:space="preserve">Extraction yield, code inventory, and OMOP output</w:t>
      </w:r>
    </w:p>
    <w:p>
      <w:pPr>
        <w:spacing w:after="120" w:line="276"/>
        <w:jc w:val="left"/>
      </w:pPr>
      <w:r>
        <w:rPr>
          <w:rFonts w:ascii="Arial" w:cs="Arial" w:eastAsia="Arial" w:hAnsi="Arial"/>
          <w:sz w:val="22"/>
          <w:szCs w:val="22"/>
        </w:rPr>
        <w:t xml:space="preserve">Across all sources, the pipeline produced 109,599 structured FHIR resources, 33,084 C-CDA section narratives, 14,825 narrative documents, and demographic records for 71 unique clinical patients (after test-patient exclusion). Stage 7 (code inventory) enumerated several thousand unique (vocabulary, code) pairs spanning SNOMED CT, ICD-10-CM, RxNorm, LOINC, CVX, and CPT-4. The OMOP ETL successfully populated all nine target CDM tables; mapping rate was high for source codes that fall within the standard OHDSI source vocabulary set (SNOMED, RxNorm, ICD-10-CM, LOINC, CVX, CPT-4), and unmapped codes were primarily local-vendor codes for which Athena does not provide a standard mapping. CDM_SOURCE.csv recorded the exact vocabulary versions used for the run — e.g., SNOMED CT International Edition 2024-09-01, RxNorm Full 20240603, LOINC 2.77 — and the output folder name was tagged with the SNOMED release date so successive Athena pulls do not overwrite each other. Table 3 summarizes record counts per category and source as represented in the final 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400"/>
      </w:tblGrid>
      <w:tr>
        <w:trPr>
          <w:tblHeader/>
        </w:trPr>
        <w:tc>
          <w:tcPr>
            <w:tcW w:type="dxa" w:w="3000"/>
            <w:tcBorders>
              <w:top w:val="single" w:color="888888" w:sz="4"/>
              <w:left w:val="single" w:color="888888" w:sz="4"/>
              <w:bottom w:val="single" w:color="888888" w:sz="4"/>
              <w:right w:val="single" w:color="888888" w:sz="4"/>
            </w:tcBorders>
            <w:shd w:fill="E8E0F0" w:val="clear"/>
            <w:tcMar>
              <w:top w:type="dxa" w:w="80"/>
              <w:left w:type="dxa" w:w="120"/>
              <w:bottom w:type="dxa" w:w="80"/>
              <w:right w:type="dxa" w:w="120"/>
            </w:tcMar>
          </w:tcPr>
          <w:p>
            <w:pPr>
              <w:jc w:val="left"/>
            </w:pPr>
            <w:r>
              <w:rPr>
                <w:rFonts w:ascii="Arial" w:cs="Arial" w:eastAsia="Arial" w:hAnsi="Arial"/>
                <w:b/>
                <w:bCs/>
                <w:sz w:val="20"/>
                <w:szCs w:val="20"/>
              </w:rPr>
              <w:t xml:space="preserve">Category</w:t>
            </w:r>
          </w:p>
        </w:tc>
        <w:tc>
          <w:tcPr>
            <w:tcW w:type="dxa" w:w="2000"/>
            <w:tcBorders>
              <w:top w:val="single" w:color="888888" w:sz="4"/>
              <w:left w:val="single" w:color="888888" w:sz="4"/>
              <w:bottom w:val="single" w:color="888888" w:sz="4"/>
              <w:right w:val="single" w:color="888888" w:sz="4"/>
            </w:tcBorders>
            <w:shd w:fill="E8E0F0" w:val="clear"/>
            <w:tcMar>
              <w:top w:type="dxa" w:w="80"/>
              <w:left w:type="dxa" w:w="120"/>
              <w:bottom w:type="dxa" w:w="80"/>
              <w:right w:type="dxa" w:w="120"/>
            </w:tcMar>
          </w:tcPr>
          <w:p>
            <w:pPr>
              <w:jc w:val="left"/>
            </w:pPr>
            <w:r>
              <w:rPr>
                <w:rFonts w:ascii="Arial" w:cs="Arial" w:eastAsia="Arial" w:hAnsi="Arial"/>
                <w:b/>
                <w:bCs/>
                <w:sz w:val="20"/>
                <w:szCs w:val="20"/>
              </w:rPr>
              <w:t xml:space="preserve">From C-CDA</w:t>
            </w:r>
          </w:p>
        </w:tc>
        <w:tc>
          <w:tcPr>
            <w:tcW w:type="dxa" w:w="2000"/>
            <w:tcBorders>
              <w:top w:val="single" w:color="888888" w:sz="4"/>
              <w:left w:val="single" w:color="888888" w:sz="4"/>
              <w:bottom w:val="single" w:color="888888" w:sz="4"/>
              <w:right w:val="single" w:color="888888" w:sz="4"/>
            </w:tcBorders>
            <w:shd w:fill="E8E0F0" w:val="clear"/>
            <w:tcMar>
              <w:top w:type="dxa" w:w="80"/>
              <w:left w:type="dxa" w:w="120"/>
              <w:bottom w:type="dxa" w:w="80"/>
              <w:right w:type="dxa" w:w="120"/>
            </w:tcMar>
          </w:tcPr>
          <w:p>
            <w:pPr>
              <w:jc w:val="left"/>
            </w:pPr>
            <w:r>
              <w:rPr>
                <w:rFonts w:ascii="Arial" w:cs="Arial" w:eastAsia="Arial" w:hAnsi="Arial"/>
                <w:b/>
                <w:bCs/>
                <w:sz w:val="20"/>
                <w:szCs w:val="20"/>
              </w:rPr>
              <w:t xml:space="preserve">From FHIR</w:t>
            </w:r>
          </w:p>
        </w:tc>
        <w:tc>
          <w:tcPr>
            <w:tcW w:type="dxa" w:w="2400"/>
            <w:tcBorders>
              <w:top w:val="single" w:color="888888" w:sz="4"/>
              <w:left w:val="single" w:color="888888" w:sz="4"/>
              <w:bottom w:val="single" w:color="888888" w:sz="4"/>
              <w:right w:val="single" w:color="888888" w:sz="4"/>
            </w:tcBorders>
            <w:shd w:fill="E8E0F0" w:val="clear"/>
            <w:tcMar>
              <w:top w:type="dxa" w:w="80"/>
              <w:left w:type="dxa" w:w="120"/>
              <w:bottom w:type="dxa" w:w="80"/>
              <w:right w:type="dxa" w:w="120"/>
            </w:tcMar>
          </w:tcPr>
          <w:p>
            <w:pPr>
              <w:jc w:val="left"/>
            </w:pPr>
            <w:r>
              <w:rPr>
                <w:rFonts w:ascii="Arial" w:cs="Arial" w:eastAsia="Arial" w:hAnsi="Arial"/>
                <w:b/>
                <w:bCs/>
                <w:sz w:val="20"/>
                <w:szCs w:val="20"/>
              </w:rPr>
              <w:t xml:space="preserve">Combined</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Encounters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3,190</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5,241</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8,431</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Problems / Conditions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1,093</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1,434</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2,527</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Medications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1,609</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6,064</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7,673</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Procedures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756</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647</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1,403</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Labs / Observations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41,680</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70,790</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112,470</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Allergies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204</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204</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Immunizations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800</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800</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Care Plans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1,121</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1,121</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Diagnostic Reports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8,055</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8,055</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Goals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562</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562</w:t>
            </w:r>
          </w:p>
        </w:tc>
      </w:tr>
    </w:tbl>
    <w:p>
      <w:pPr>
        <w:spacing w:after="200" w:line="276"/>
        <w:jc w:val="left"/>
      </w:pPr>
      <w:r>
        <w:rPr>
          <w:rFonts w:ascii="Arial" w:cs="Arial" w:eastAsia="Arial" w:hAnsi="Arial"/>
          <w:b/>
          <w:bCs/>
          <w:i w:val="false"/>
          <w:iCs w:val="false"/>
          <w:sz w:val="22"/>
          <w:szCs w:val="22"/>
        </w:rPr>
        <w:t xml:space="preserve">Table 3. </w:t>
      </w:r>
      <w:r>
        <w:rPr>
          <w:rFonts w:ascii="Arial" w:cs="Arial" w:eastAsia="Arial" w:hAnsi="Arial"/>
          <w:b w:val="false"/>
          <w:bCs w:val="false"/>
          <w:i/>
          <w:iCs/>
          <w:sz w:val="22"/>
          <w:szCs w:val="22"/>
        </w:rPr>
        <w:t xml:space="preserve">Structured record counts in the final filtered dataset, by category and source.</w:t>
      </w:r>
      <w:r>
        <w:rPr>
          <w:rFonts w:ascii="Arial" w:cs="Arial" w:eastAsia="Arial" w:hAnsi="Arial"/>
          <w:b w:val="false"/>
          <w:bCs w:val="false"/>
          <w:i/>
          <w:iCs/>
          <w:sz w:val="22"/>
          <w:szCs w:val="22"/>
        </w:rPr>
        <w:t xml:space="preserve"> C-CDA documents contribute heavily to Labs/Observations and Encounters; FHIR data fills gaps in Problems and Medications and adds five resource categories not present in C-CDA at all. Counts shown are post-filter; an additional 791 records associated with two test-patient records were excluded.</w:t>
      </w:r>
    </w:p>
    <w:p>
      <w:pPr>
        <w:pStyle w:val="Heading2"/>
        <w:spacing w:after="120" w:before="200"/>
      </w:pPr>
      <w:r>
        <w:rPr>
          <w:rFonts w:ascii="Arial" w:cs="Arial" w:eastAsia="Arial" w:hAnsi="Arial"/>
          <w:b/>
          <w:bCs/>
          <w:i/>
          <w:iCs/>
          <w:sz w:val="24"/>
          <w:szCs w:val="24"/>
        </w:rPr>
        <w:t xml:space="preserve">Note-extraction yield (synthetic-cohort demonstration)</w:t>
      </w:r>
    </w:p>
    <w:p>
      <w:pPr>
        <w:spacing w:after="120" w:line="276"/>
        <w:jc w:val="left"/>
      </w:pPr>
      <w:r>
        <w:rPr>
          <w:rFonts w:ascii="Arial" w:cs="Arial" w:eastAsia="Arial" w:hAnsi="Arial"/>
          <w:sz w:val="22"/>
          <w:szCs w:val="22"/>
        </w:rPr>
        <w:t xml:space="preserve">Run against the public synthetic-cohort demonstration bundle, the regex-based note extraction module recovered every category of ALS-specific narrative content patterned in the shipped library: ALSFRS-R total and four subdomain scores, ECAS total and ALS-specific subscore, El Escorial/Awaji-Shima certainty, family history (negative and positive constructs), site of onset, FVC percent-predicted, and dated treatment milestones (riluzole start, edaravone start, NIV initiation, PEG placement). On the production ARC dataset, sustained validation work is ongoing; we expect the shipped patterns to require local tuning before captured values are admitted to analysis. Table 4 summarizes the pattern groups currently shipped.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500"/>
      </w:tblGrid>
      <w:tr>
        <w:trPr>
          <w:tblHeader/>
        </w:trPr>
        <w:tc>
          <w:tcPr>
            <w:tcW w:type="dxa" w:w="2400"/>
            <w:tcBorders>
              <w:top w:val="single" w:color="888888" w:sz="4"/>
              <w:left w:val="single" w:color="888888" w:sz="4"/>
              <w:bottom w:val="single" w:color="888888" w:sz="4"/>
              <w:right w:val="single" w:color="888888" w:sz="4"/>
            </w:tcBorders>
            <w:shd w:fill="E8E0F0" w:val="clear"/>
            <w:tcMar>
              <w:top w:type="dxa" w:w="80"/>
              <w:left w:type="dxa" w:w="120"/>
              <w:bottom w:type="dxa" w:w="80"/>
              <w:right w:type="dxa" w:w="120"/>
            </w:tcMar>
          </w:tcPr>
          <w:p>
            <w:pPr>
              <w:jc w:val="left"/>
            </w:pPr>
            <w:r>
              <w:rPr>
                <w:rFonts w:ascii="Arial" w:cs="Arial" w:eastAsia="Arial" w:hAnsi="Arial"/>
                <w:b/>
                <w:bCs/>
                <w:sz w:val="20"/>
                <w:szCs w:val="20"/>
              </w:rPr>
              <w:t xml:space="preserve">Pattern group</w:t>
            </w:r>
          </w:p>
        </w:tc>
        <w:tc>
          <w:tcPr>
            <w:tcW w:type="dxa" w:w="1500"/>
            <w:tcBorders>
              <w:top w:val="single" w:color="888888" w:sz="4"/>
              <w:left w:val="single" w:color="888888" w:sz="4"/>
              <w:bottom w:val="single" w:color="888888" w:sz="4"/>
              <w:right w:val="single" w:color="888888" w:sz="4"/>
            </w:tcBorders>
            <w:shd w:fill="E8E0F0" w:val="clear"/>
            <w:tcMar>
              <w:top w:type="dxa" w:w="80"/>
              <w:left w:type="dxa" w:w="120"/>
              <w:bottom w:type="dxa" w:w="80"/>
              <w:right w:type="dxa" w:w="120"/>
            </w:tcMar>
          </w:tcPr>
          <w:p>
            <w:pPr>
              <w:jc w:val="left"/>
            </w:pPr>
            <w:r>
              <w:rPr>
                <w:rFonts w:ascii="Arial" w:cs="Arial" w:eastAsia="Arial" w:hAnsi="Arial"/>
                <w:b/>
                <w:bCs/>
                <w:sz w:val="20"/>
                <w:szCs w:val="20"/>
              </w:rPr>
              <w:t xml:space="preserve">Patterns shipped</w:t>
            </w:r>
          </w:p>
        </w:tc>
        <w:tc>
          <w:tcPr>
            <w:tcW w:type="dxa" w:w="5500"/>
            <w:tcBorders>
              <w:top w:val="single" w:color="888888" w:sz="4"/>
              <w:left w:val="single" w:color="888888" w:sz="4"/>
              <w:bottom w:val="single" w:color="888888" w:sz="4"/>
              <w:right w:val="single" w:color="888888" w:sz="4"/>
            </w:tcBorders>
            <w:shd w:fill="E8E0F0" w:val="clear"/>
            <w:tcMar>
              <w:top w:type="dxa" w:w="80"/>
              <w:left w:type="dxa" w:w="120"/>
              <w:bottom w:type="dxa" w:w="80"/>
              <w:right w:type="dxa" w:w="120"/>
            </w:tcMar>
          </w:tcPr>
          <w:p>
            <w:pPr>
              <w:jc w:val="left"/>
            </w:pPr>
            <w:r>
              <w:rPr>
                <w:rFonts w:ascii="Arial" w:cs="Arial" w:eastAsia="Arial" w:hAnsi="Arial"/>
                <w:b/>
                <w:bCs/>
                <w:sz w:val="20"/>
                <w:szCs w:val="20"/>
              </w:rPr>
              <w:t xml:space="preserve">Examples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ALSFRS-R</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c>
          <w:tcPr>
            <w:tcW w:type="dxa" w:w="5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 bulbar / fine motor / gross motor / respiratory subdomains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ECAS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5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ALS-specific, non-ALS-specific, FTD-spectrum mentions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Diagnosis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w:t>
            </w:r>
          </w:p>
        </w:tc>
        <w:tc>
          <w:tcPr>
            <w:tcW w:type="dxa" w:w="5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El Escorial certainty; site of onset (bulbar/limb/spinal)</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Family history</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5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Negative; positive (named-relative); genetic mutation positive (C9orf72, SOD1, etc.)</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Pulmonary</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5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FVC % predicted</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Treatment milestones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c>
          <w:tcPr>
            <w:tcW w:type="dxa" w:w="5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PEG, NIV, riluzole start, edaravone start, tracheostomy</w:t>
            </w:r>
          </w:p>
        </w:tc>
      </w:tr>
    </w:tbl>
    <w:p>
      <w:pPr>
        <w:spacing w:after="200" w:line="276"/>
        <w:jc w:val="left"/>
      </w:pPr>
      <w:r>
        <w:rPr>
          <w:rFonts w:ascii="Arial" w:cs="Arial" w:eastAsia="Arial" w:hAnsi="Arial"/>
          <w:b/>
          <w:bCs/>
          <w:i w:val="false"/>
          <w:iCs w:val="false"/>
          <w:sz w:val="22"/>
          <w:szCs w:val="22"/>
        </w:rPr>
        <w:t xml:space="preserve">Table 4. </w:t>
      </w:r>
      <w:r>
        <w:rPr>
          <w:rFonts w:ascii="Arial" w:cs="Arial" w:eastAsia="Arial" w:hAnsi="Arial"/>
          <w:b w:val="false"/>
          <w:bCs w:val="false"/>
          <w:i/>
          <w:iCs/>
          <w:sz w:val="22"/>
          <w:szCs w:val="22"/>
        </w:rPr>
        <w:t xml:space="preserve">Note-extraction pattern groups shipped with the open implementation.</w:t>
      </w:r>
      <w:r>
        <w:rPr>
          <w:rFonts w:ascii="Arial" w:cs="Arial" w:eastAsia="Arial" w:hAnsi="Arial"/>
          <w:b w:val="false"/>
          <w:bCs w:val="false"/>
          <w:i/>
          <w:iCs/>
          <w:sz w:val="22"/>
          <w:szCs w:val="22"/>
        </w:rPr>
        <w:t xml:space="preserve"> Twenty seed patterns total. Each pattern emits one row per match with patient_id, source_kind, source_id, captured value, a 60-character context snippet, character offset within the source, and a one-line description, allowing manual review at the row level.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6A4C9C" w:sz="6"/>
              <w:left w:val="dashed" w:color="6A4C9C" w:sz="6"/>
              <w:bottom w:val="dashed" w:color="6A4C9C" w:sz="6"/>
              <w:right w:val="dashed" w:color="6A4C9C" w:sz="6"/>
            </w:tcBorders>
            <w:shd w:fill="F5F0FA" w:val="clear"/>
            <w:tcMar>
              <w:top w:type="dxa" w:w="280"/>
              <w:left w:type="dxa" w:w="200"/>
              <w:bottom w:type="dxa" w:w="280"/>
              <w:right w:type="dxa" w:w="200"/>
            </w:tcMar>
          </w:tcPr>
          <w:p>
            <w:pPr>
              <w:spacing w:after="80"/>
              <w:jc w:val="center"/>
            </w:pPr>
            <w:r>
              <w:rPr>
                <w:rFonts w:ascii="Arial" w:cs="Arial" w:eastAsia="Arial" w:hAnsi="Arial"/>
                <w:b/>
                <w:bCs/>
                <w:color w:val="6A4C9C"/>
                <w:sz w:val="22"/>
                <w:szCs w:val="22"/>
              </w:rPr>
              <w:t xml:space="preserve">[ FIGURE 6 PLACEHOLDER ]</w:t>
            </w:r>
          </w:p>
          <w:p>
            <w:pPr>
              <w:spacing w:after="80"/>
              <w:jc w:val="center"/>
            </w:pPr>
            <w:r>
              <w:rPr>
                <w:rFonts w:ascii="Arial" w:cs="Arial" w:eastAsia="Arial" w:hAnsi="Arial"/>
                <w:i/>
                <w:iCs/>
                <w:color w:val="6A4C9C"/>
                <w:sz w:val="22"/>
                <w:szCs w:val="22"/>
              </w:rPr>
              <w:t xml:space="preserve">Synthetic demonstration vs. production</w:t>
            </w:r>
          </w:p>
          <w:p>
            <w:pPr>
              <w:jc w:val="center"/>
            </w:pPr>
            <w:r>
              <w:rPr>
                <w:rFonts w:ascii="Arial" w:cs="Arial" w:eastAsia="Arial" w:hAnsi="Arial"/>
                <w:color w:val="888888"/>
                <w:sz w:val="18"/>
                <w:szCs w:val="18"/>
              </w:rPr>
              <w:t xml:space="preserve">Side-by-side screenshot showing (left) the publicly-hosted synthetic demonstration of the dashboard with the “Demo with synthetic data” watermark, and (right) the same dashboard layout running against the production ARC dataset. Identical UX, different data; demonstrates that the demo is faithful to the production tool.</w:t>
            </w:r>
          </w:p>
        </w:tc>
      </w:tr>
    </w:tbl>
    <w:p>
      <w:pPr>
        <w:spacing w:after="200" w:line="276"/>
        <w:jc w:val="left"/>
      </w:pPr>
      <w:r>
        <w:rPr>
          <w:rFonts w:ascii="Arial" w:cs="Arial" w:eastAsia="Arial" w:hAnsi="Arial"/>
          <w:b/>
          <w:bCs/>
          <w:i w:val="false"/>
          <w:iCs w:val="false"/>
          <w:sz w:val="22"/>
          <w:szCs w:val="22"/>
        </w:rPr>
        <w:t xml:space="preserve">Figure 6. </w:t>
      </w:r>
      <w:r>
        <w:rPr>
          <w:rFonts w:ascii="Arial" w:cs="Arial" w:eastAsia="Arial" w:hAnsi="Arial"/>
          <w:b w:val="false"/>
          <w:bCs w:val="false"/>
          <w:i/>
          <w:iCs/>
          <w:sz w:val="22"/>
          <w:szCs w:val="22"/>
        </w:rPr>
        <w:t xml:space="preserve">Synthetic demonstration vs. production deployment.</w:t>
      </w:r>
      <w:r>
        <w:rPr>
          <w:rFonts w:ascii="Arial" w:cs="Arial" w:eastAsia="Arial" w:hAnsi="Arial"/>
          <w:b w:val="false"/>
          <w:bCs w:val="false"/>
          <w:i/>
          <w:iCs/>
          <w:sz w:val="22"/>
          <w:szCs w:val="22"/>
        </w:rPr>
        <w:t xml:space="preserve"> The publicly-hosted demonstration uses the same dashboard.html as the production tool. The persistent banner labels every demo session as synthetic, allowing safe sharing without PHI risk.</w:t>
      </w:r>
    </w:p>
    <w:p>
      <w:pPr>
        <w:pStyle w:val="Heading1"/>
        <w:spacing w:after="160" w:before="280"/>
      </w:pPr>
      <w:r>
        <w:rPr>
          <w:rFonts w:ascii="Arial" w:cs="Arial" w:eastAsia="Arial" w:hAnsi="Arial"/>
          <w:b/>
          <w:bCs/>
          <w:sz w:val="28"/>
          <w:szCs w:val="28"/>
        </w:rPr>
        <w:t xml:space="preserve">GENERALIZATION TO OTHER PATIENT-DIRECTED SMART ON FHIR REGISTRIES</w:t>
      </w:r>
    </w:p>
    <w:p>
      <w:pPr>
        <w:spacing w:after="120" w:line="276"/>
        <w:jc w:val="left"/>
      </w:pPr>
      <w:r>
        <w:rPr>
          <w:rFonts w:ascii="Arial" w:cs="Arial" w:eastAsia="Arial" w:hAnsi="Arial"/>
          <w:sz w:val="22"/>
          <w:szCs w:val="22"/>
        </w:rPr>
        <w:t xml:space="preserve">The challenges encountered in this work are not unique to ARC, to ALS, or to ALS TDI. Any patient registry acquiring data through patient-directed SMART on FHIR will face structurally similar problems regardless of disease area, registry size, or downstream storage technology used to hold the retrieved data. We describe how each pipeline layer adapts.</w:t>
      </w:r>
    </w:p>
    <w:p>
      <w:pPr>
        <w:pStyle w:val="Heading2"/>
        <w:spacing w:after="120" w:before="200"/>
      </w:pPr>
      <w:r>
        <w:rPr>
          <w:rFonts w:ascii="Arial" w:cs="Arial" w:eastAsia="Arial" w:hAnsi="Arial"/>
          <w:b/>
          <w:bCs/>
          <w:i/>
          <w:iCs/>
          <w:sz w:val="24"/>
          <w:szCs w:val="24"/>
        </w:rPr>
        <w:t xml:space="preserve">What is universal across patient-directed SMART on FHIR registries</w:t>
      </w:r>
    </w:p>
    <w:p>
      <w:pPr>
        <w:spacing w:after="120" w:line="276"/>
        <w:jc w:val="left"/>
      </w:pPr>
      <w:r>
        <w:rPr>
          <w:rFonts w:ascii="Arial" w:cs="Arial" w:eastAsia="Arial" w:hAnsi="Arial"/>
          <w:sz w:val="22"/>
          <w:szCs w:val="22"/>
        </w:rPr>
        <w:t xml:space="preserve">Payload heterogeneity. Although a SMART on FHIR client requests structured FHIR resources, vendors routinely return DocumentReference resources whose attached Binary content is something other than a true C-CDA — most commonly an HTML fragment, an RTF-formatted note, or a PDF report. Magic-byte detection at the analytics layer adds &lt;50 lines of code and is essential.</w:t>
      </w:r>
    </w:p>
    <w:p>
      <w:pPr>
        <w:spacing w:after="120" w:line="276"/>
        <w:jc w:val="left"/>
      </w:pPr>
      <w:r>
        <w:rPr>
          <w:rFonts w:ascii="Arial" w:cs="Arial" w:eastAsia="Arial" w:hAnsi="Arial"/>
          <w:sz w:val="22"/>
          <w:szCs w:val="22"/>
        </w:rPr>
        <w:t xml:space="preserve">Identifier-mapping provenance gaps. Every SMART on FHIR retrieval is bound to a specific patient identifier issued by the source EHR. Audit-log tables — not derived patient tables — are typically the canonical source of mappings. Verifying linkage rate explicitly is more important than trusting the first plausible mapping table.</w:t>
      </w:r>
    </w:p>
    <w:p>
      <w:pPr>
        <w:spacing w:after="120" w:line="276"/>
        <w:jc w:val="left"/>
      </w:pPr>
      <w:r>
        <w:rPr>
          <w:rFonts w:ascii="Arial" w:cs="Arial" w:eastAsia="Arial" w:hAnsi="Arial"/>
          <w:sz w:val="22"/>
          <w:szCs w:val="22"/>
        </w:rPr>
        <w:t xml:space="preserve">Vendor-specific display-name omissions. The 32% gap in LOINC display names we observed reflects an Epic export choice that recurs across Epic-sourced data. Other vendors exhibit similar but distinct gaps. Stage 5’s enrichment table can be extended for any code system.</w:t>
      </w:r>
    </w:p>
    <w:p>
      <w:pPr>
        <w:spacing w:after="120" w:line="276"/>
        <w:jc w:val="left"/>
      </w:pPr>
      <w:r>
        <w:rPr>
          <w:rFonts w:ascii="Arial" w:cs="Arial" w:eastAsia="Arial" w:hAnsi="Arial"/>
          <w:sz w:val="22"/>
          <w:szCs w:val="22"/>
        </w:rPr>
        <w:t xml:space="preserve">Test records. Test patient records appear in EHR data routinely (clinician training, integration testing, validation). Stage 6’s configuration-file-driven filter generalizes to any registry; the rule types (full ID, exact name, name contains, MRN contains) cover the patterns we have seen and that have been reported in pilot studies of other SMART on FHIR ingests [18].</w:t>
      </w:r>
    </w:p>
    <w:p>
      <w:pPr>
        <w:spacing w:after="120" w:line="276"/>
        <w:jc w:val="left"/>
      </w:pPr>
      <w:r>
        <w:rPr>
          <w:rFonts w:ascii="Arial" w:cs="Arial" w:eastAsia="Arial" w:hAnsi="Arial"/>
          <w:sz w:val="22"/>
          <w:szCs w:val="22"/>
        </w:rPr>
        <w:t xml:space="preserve">Source-code inventories matter before standardization. Stage 7 was added to the pipeline after a recurring class of OMOP-mapping failures: source codes whose existence the registry was unaware of (vendor-local codes, unexpected vocabularies in fields nominally restricted to one) are silently dropped during downstream mapping unless the registry can enumerate them up front. Generating and reviewing code_inventory.csv before running the OMOP ETL turns these silent drops into explicit “N unmapped (vocabulary, code) pairs” entries that can be addressed.</w:t>
      </w:r>
    </w:p>
    <w:p>
      <w:pPr>
        <w:spacing w:after="120" w:line="276"/>
        <w:jc w:val="left"/>
      </w:pPr>
      <w:r>
        <w:rPr>
          <w:rFonts w:ascii="Arial" w:cs="Arial" w:eastAsia="Arial" w:hAnsi="Arial"/>
          <w:sz w:val="22"/>
          <w:szCs w:val="22"/>
        </w:rPr>
        <w:t xml:space="preserve">OMOP ETL benefits from explicit vocabulary-release versioning. Athena vocabulary contents change between releases; coding decisions made under one release are not always reproducible under a later one. Tagging output folders with the release identifier and persisting the vocabulary_version string in CDM_SOURCE.csv converts an otherwise-untraceable property of the run into an auditable artifact.</w:t>
      </w:r>
    </w:p>
    <w:p>
      <w:pPr>
        <w:spacing w:after="120" w:line="276"/>
        <w:jc w:val="left"/>
      </w:pPr>
      <w:r>
        <w:rPr>
          <w:rFonts w:ascii="Arial" w:cs="Arial" w:eastAsia="Arial" w:hAnsi="Arial"/>
          <w:sz w:val="22"/>
          <w:szCs w:val="22"/>
        </w:rPr>
        <w:t xml:space="preserve">A meaningful fraction of clinically-essential content lives only in narrative text. Without an unstructured-text recovery step, registry analyses systematically under-represent disease severity and phenotype information that’s present in records but not in coded fields. Whether the recovery step is regex-based or NLP-based, having one is more important than having none.</w:t>
      </w:r>
    </w:p>
    <w:p>
      <w:pPr>
        <w:pStyle w:val="Heading2"/>
        <w:spacing w:after="120" w:before="200"/>
      </w:pPr>
      <w:r>
        <w:rPr>
          <w:rFonts w:ascii="Arial" w:cs="Arial" w:eastAsia="Arial" w:hAnsi="Arial"/>
          <w:b/>
          <w:bCs/>
          <w:i/>
          <w:iCs/>
          <w:sz w:val="24"/>
          <w:szCs w:val="24"/>
        </w:rPr>
        <w:t xml:space="preserve">What needs to be customized per registry</w:t>
      </w:r>
    </w:p>
    <w:p>
      <w:pPr>
        <w:spacing w:after="120" w:line="276"/>
        <w:jc w:val="left"/>
      </w:pPr>
      <w:r>
        <w:rPr>
          <w:rFonts w:ascii="Arial" w:cs="Arial" w:eastAsia="Arial" w:hAnsi="Arial"/>
          <w:sz w:val="22"/>
          <w:szCs w:val="22"/>
        </w:rPr>
        <w:t xml:space="preserve">Acquisition layer. The pipeline assumes pre-populated input directories on disk; it does not perform SMART on FHIR retrieval itself. Adopting registries either write a thin acquisition adapter or plug the pipeline downstream of an existing acquisition system that already produces the equivalent outputs.</w:t>
      </w:r>
    </w:p>
    <w:p>
      <w:pPr>
        <w:spacing w:after="120" w:line="276"/>
        <w:jc w:val="left"/>
      </w:pPr>
      <w:r>
        <w:rPr>
          <w:rFonts w:ascii="Arial" w:cs="Arial" w:eastAsia="Arial" w:hAnsi="Arial"/>
          <w:sz w:val="22"/>
          <w:szCs w:val="22"/>
        </w:rPr>
        <w:t xml:space="preserve">Patient-identifier mapping export. The CSVs that the pipeline consumes are SQL queries against ALS TDI’s internal Databricks tables. A registry using a different storage substrate would write equivalent queries against its own tables; the schema of the resulting CSVs is the only contract.</w:t>
      </w:r>
    </w:p>
    <w:p>
      <w:pPr>
        <w:spacing w:after="120" w:line="276"/>
        <w:jc w:val="left"/>
      </w:pPr>
      <w:r>
        <w:rPr>
          <w:rFonts w:ascii="Arial" w:cs="Arial" w:eastAsia="Arial" w:hAnsi="Arial"/>
          <w:sz w:val="22"/>
          <w:szCs w:val="22"/>
        </w:rPr>
        <w:t xml:space="preserve">Display-name lookup table. An ALS registry includes the ALSFRS-R LOINC code (67131-4); a cardiology registry would extend the table with cardiac-specific codes; an oncology registry with NCI Thesaurus codes; and so on.</w:t>
      </w:r>
    </w:p>
    <w:p>
      <w:pPr>
        <w:spacing w:after="120" w:line="276"/>
        <w:jc w:val="left"/>
      </w:pPr>
      <w:r>
        <w:rPr>
          <w:rFonts w:ascii="Arial" w:cs="Arial" w:eastAsia="Arial" w:hAnsi="Arial"/>
          <w:sz w:val="22"/>
          <w:szCs w:val="22"/>
        </w:rPr>
        <w:t xml:space="preserve">OMOP ETL vocabulary-source coverage. The shipped FHIR-system to Athena vocabulary_id mapping covers the standard set (SNOMED, ICD10CM, RxNorm, LOINC, CVX, CPT4). Registries with vendor-local codes or non-US vocabularies (e.g. Read Codes, ICD-10 international) will need to add entries to the SYSTEM_NAME_TO_VOCAB_ID table at the top of omop_etl.py and ensure the corresponding vocabulary is selected in their Athena bundle.</w:t>
      </w:r>
    </w:p>
    <w:p>
      <w:pPr>
        <w:spacing w:after="120" w:line="276"/>
        <w:jc w:val="left"/>
      </w:pPr>
      <w:r>
        <w:rPr>
          <w:rFonts w:ascii="Arial" w:cs="Arial" w:eastAsia="Arial" w:hAnsi="Arial"/>
          <w:sz w:val="22"/>
          <w:szCs w:val="22"/>
        </w:rPr>
        <w:t xml:space="preserve">Note-extraction pattern library. The shipped patterns are ALS-specific. Disease-specific registries should expect to author their own pattern library covering disease-relevant scores (NYHA class for cardiology; UPDRS for Parkinson disease; ECOG performance status for oncology), site-specific phrasing (“diagnosed with” vs. “history of” vs. “carrying a diagnosis of”), and local templated note macros that produce stereotyped strings amenable to regex capture.</w:t>
      </w:r>
    </w:p>
    <w:p>
      <w:pPr>
        <w:spacing w:after="120" w:line="276"/>
        <w:jc w:val="left"/>
      </w:pPr>
      <w:r>
        <w:rPr>
          <w:rFonts w:ascii="Arial" w:cs="Arial" w:eastAsia="Arial" w:hAnsi="Arial"/>
          <w:sz w:val="22"/>
          <w:szCs w:val="22"/>
        </w:rPr>
        <w:t xml:space="preserve">Dashboard branding and content. The HTML dashboard uses ALS TDI brand colors and references ARC Study-specific terminology. A registry adopting the dashboard would adjust the CSS variables and welcome-page copy. The data-rendering logic (tabs, tables, source tags, filtering, CSV export) is generic.</w:t>
      </w:r>
    </w:p>
    <w:p>
      <w:pPr>
        <w:pStyle w:val="Heading2"/>
        <w:spacing w:after="120" w:before="200"/>
      </w:pPr>
      <w:r>
        <w:rPr>
          <w:rFonts w:ascii="Arial" w:cs="Arial" w:eastAsia="Arial" w:hAnsi="Arial"/>
          <w:b/>
          <w:bCs/>
          <w:i/>
          <w:iCs/>
          <w:sz w:val="24"/>
          <w:szCs w:val="24"/>
        </w:rPr>
        <w:t xml:space="preserve">Estimated effort to adopt</w:t>
      </w:r>
    </w:p>
    <w:p>
      <w:pPr>
        <w:spacing w:after="120" w:line="276"/>
        <w:jc w:val="left"/>
      </w:pPr>
      <w:r>
        <w:rPr>
          <w:rFonts w:ascii="Arial" w:cs="Arial" w:eastAsia="Arial" w:hAnsi="Arial"/>
          <w:sz w:val="22"/>
          <w:szCs w:val="22"/>
        </w:rPr>
        <w:t xml:space="preserve">Based on our experience, a registry with one Python-fluent staff member could adopt the full pipeline in approximately 8–15 working days: 1–2 days for the acquisition adapter or downstream connector, 1 day for patient-mapping queries, 1–2 days extending the display-name lookup with disease-specific codes, 1 day rebranding the dashboard, 2–3 days configuring and validating the OMOP ETL against an Athena vocabulary download, 2–3 days authoring an initial regex-pattern library for the registry’s disease, and 2–4 days for end-to-end testing on the registry’s actual data. The pipeline is intentionally designed to avoid vendor-specific cloud services so that adoption does not require additional infrastructure spending or new business associate agreements.</w:t>
      </w:r>
    </w:p>
    <w:p>
      <w:pPr>
        <w:pStyle w:val="Heading1"/>
        <w:spacing w:after="160" w:before="280"/>
      </w:pPr>
      <w:r>
        <w:rPr>
          <w:rFonts w:ascii="Arial" w:cs="Arial" w:eastAsia="Arial" w:hAnsi="Arial"/>
          <w:b/>
          <w:bCs/>
          <w:sz w:val="28"/>
          <w:szCs w:val="28"/>
        </w:rPr>
        <w:t xml:space="preserve">DISCUSSION</w:t>
      </w:r>
    </w:p>
    <w:p>
      <w:pPr>
        <w:spacing w:after="120" w:line="276"/>
        <w:jc w:val="left"/>
      </w:pPr>
      <w:r>
        <w:rPr>
          <w:rFonts w:ascii="Arial" w:cs="Arial" w:eastAsia="Arial" w:hAnsi="Arial"/>
          <w:sz w:val="22"/>
          <w:szCs w:val="22"/>
        </w:rPr>
        <w:t xml:space="preserve">The structural shift to patient-directed SMART on FHIR has solved one half of the registry data problem — acquisition — at exactly the moment the second half (analytics) has become the binding constraint. We believe this gap is widespread but underreported in the literature, partly because registries that succeed at acquisition but fail at analytics are unlikely to publish about the experience.</w:t>
      </w:r>
    </w:p>
    <w:p>
      <w:pPr>
        <w:pStyle w:val="Heading2"/>
        <w:spacing w:after="120" w:before="200"/>
      </w:pPr>
      <w:r>
        <w:rPr>
          <w:rFonts w:ascii="Arial" w:cs="Arial" w:eastAsia="Arial" w:hAnsi="Arial"/>
          <w:b/>
          <w:bCs/>
          <w:i/>
          <w:iCs/>
          <w:sz w:val="24"/>
          <w:szCs w:val="24"/>
        </w:rPr>
        <w:t xml:space="preserve">Format heterogeneity is a property of the FHIR specification, not a vendor anomaly</w:t>
      </w:r>
    </w:p>
    <w:p>
      <w:pPr>
        <w:spacing w:after="120" w:line="276"/>
        <w:jc w:val="left"/>
      </w:pPr>
      <w:r>
        <w:rPr>
          <w:rFonts w:ascii="Arial" w:cs="Arial" w:eastAsia="Arial" w:hAnsi="Arial"/>
          <w:sz w:val="22"/>
          <w:szCs w:val="22"/>
        </w:rPr>
        <w:t xml:space="preserve">FHIR’s DocumentReference resource intentionally permits Binary content of arbitrary type. We observed four payload formats in a single export from one registry’s pull; registries pulling from multiple vendors should expect more.</w:t>
      </w:r>
    </w:p>
    <w:p>
      <w:pPr>
        <w:pStyle w:val="Heading2"/>
        <w:spacing w:after="120" w:before="200"/>
      </w:pPr>
      <w:r>
        <w:rPr>
          <w:rFonts w:ascii="Arial" w:cs="Arial" w:eastAsia="Arial" w:hAnsi="Arial"/>
          <w:b/>
          <w:bCs/>
          <w:i/>
          <w:iCs/>
          <w:sz w:val="24"/>
          <w:szCs w:val="24"/>
        </w:rPr>
        <w:t xml:space="preserve">Audit tables are the canonical patient-linkage source, not derived patient tables</w:t>
      </w:r>
    </w:p>
    <w:p>
      <w:pPr>
        <w:spacing w:after="120" w:line="276"/>
        <w:jc w:val="left"/>
      </w:pPr>
      <w:r>
        <w:rPr>
          <w:rFonts w:ascii="Arial" w:cs="Arial" w:eastAsia="Arial" w:hAnsi="Arial"/>
          <w:sz w:val="22"/>
          <w:szCs w:val="22"/>
        </w:rPr>
        <w:t xml:space="preserve">Our most time-consuming debugging session was located in the wrong table. The patient-import audit table — which logs every SMART on FHIR token grant and the corresponding source-EHR identifier — is the source of truth for canonical identifier mapping. Derived Patient tables are usually downstream and may be incomplete.</w:t>
      </w:r>
    </w:p>
    <w:p>
      <w:pPr>
        <w:pStyle w:val="Heading2"/>
        <w:spacing w:after="120" w:before="200"/>
      </w:pPr>
      <w:r>
        <w:rPr>
          <w:rFonts w:ascii="Arial" w:cs="Arial" w:eastAsia="Arial" w:hAnsi="Arial"/>
          <w:b/>
          <w:bCs/>
          <w:i/>
          <w:iCs/>
          <w:sz w:val="24"/>
          <w:szCs w:val="24"/>
        </w:rPr>
        <w:t xml:space="preserve">A code inventory is the cheapest QA artifact in the entire pipeline</w:t>
      </w:r>
    </w:p>
    <w:p>
      <w:pPr>
        <w:spacing w:after="120" w:line="276"/>
        <w:jc w:val="left"/>
      </w:pPr>
      <w:r>
        <w:rPr>
          <w:rFonts w:ascii="Arial" w:cs="Arial" w:eastAsia="Arial" w:hAnsi="Arial"/>
          <w:sz w:val="22"/>
          <w:szCs w:val="22"/>
        </w:rPr>
        <w:t xml:space="preserve">Stage 7 was added late in the project, after we observed that OMOP-mapping failures and dashboard display anomalies frequently traced back to source codes whose existence the registry had not previously enumerated. The inventory is essentially free — a single in-memory walk of the bundle, a few hundred lines of Python — yet it surfaces the exact set of (vocabulary, code) pairs the registry must prepare to handle. Registries adopting the pipeline should review the inventory before investing in OMOP mapping or vocabulary downloads, and should re-run it at any cadence at which their source data changes (for ARC, after every quarterly re-pull).</w:t>
      </w:r>
    </w:p>
    <w:p>
      <w:pPr>
        <w:pStyle w:val="Heading2"/>
        <w:spacing w:after="120" w:before="200"/>
      </w:pPr>
      <w:r>
        <w:rPr>
          <w:rFonts w:ascii="Arial" w:cs="Arial" w:eastAsia="Arial" w:hAnsi="Arial"/>
          <w:b/>
          <w:bCs/>
          <w:i/>
          <w:iCs/>
          <w:sz w:val="24"/>
          <w:szCs w:val="24"/>
        </w:rPr>
        <w:t xml:space="preserve">OMOP ETL is the right downstream destination for SMART on FHIR registry data</w:t>
      </w:r>
    </w:p>
    <w:p>
      <w:pPr>
        <w:spacing w:after="120" w:line="276"/>
        <w:jc w:val="left"/>
      </w:pPr>
      <w:r>
        <w:rPr>
          <w:rFonts w:ascii="Arial" w:cs="Arial" w:eastAsia="Arial" w:hAnsi="Arial"/>
          <w:sz w:val="22"/>
          <w:szCs w:val="22"/>
        </w:rPr>
        <w:t xml:space="preserve">The structured codes extracted by Stages 2–3 align directly with the source vocabularies of the OMOP CDM, and the per-tab CSV exports preserve every relevant code system, code value, date, and patient identifier needed for the standard OHDSI two-step mapping. The implementation reported here is unusual in two ways. First, it routes records to CDM tables by domain of the standard concept (the conventional approach) rather than by source category, which correctly handles the long tail of source codes whose Maps-to target is in a different domain than naive source-category routing would predict. Second, it persists vocabulary release versions in CDM_SOURCE.csv and tags the output folder with the release identifier, providing the audit trail OHDSI federated studies increasingly require [19,20]. Registries that wish to participate in OHDSI federated studies (e.g., ALS-relevant observational cohorts) can use the pipeline’s OMOP output without re-extracting structured data from raw FHIR Bundles or C-CDA documents.</w:t>
      </w:r>
    </w:p>
    <w:p>
      <w:pPr>
        <w:pStyle w:val="Heading2"/>
        <w:spacing w:after="120" w:before="200"/>
      </w:pPr>
      <w:r>
        <w:rPr>
          <w:rFonts w:ascii="Arial" w:cs="Arial" w:eastAsia="Arial" w:hAnsi="Arial"/>
          <w:b/>
          <w:bCs/>
          <w:i/>
          <w:iCs/>
          <w:sz w:val="24"/>
          <w:szCs w:val="24"/>
        </w:rPr>
        <w:t xml:space="preserve">Unstructured-text recovery is the third tier of registry analytics value</w:t>
      </w:r>
    </w:p>
    <w:p>
      <w:pPr>
        <w:spacing w:after="120" w:line="276"/>
        <w:jc w:val="left"/>
      </w:pPr>
      <w:r>
        <w:rPr>
          <w:rFonts w:ascii="Arial" w:cs="Arial" w:eastAsia="Arial" w:hAnsi="Arial"/>
          <w:sz w:val="22"/>
          <w:szCs w:val="22"/>
        </w:rPr>
        <w:t xml:space="preserve">A pipeline that stops at structured codes leaves a sizable fraction of clinically essential content on the table: severity scales, diagnostic certainty, family history, genetic status, treatment milestones with dates, and many other facts that EHRs persist as note text rather than as discrete observations. The regex-based recovery module shipped here is deliberately the simplest possible implementation that produces useful output: a pattern library, a single regex pass over every text source, a row-per-match CSV with snippets for review. Sites whose narrative text is sufficiently stereotyped — templated note macros, structured headers, lab-grid formats — can extract a meaningful fraction of this content cheaply. Sites whose phrasing is more variable will need real clinical NLP (cTAKES, MedSpaCy, or transformer-based pipelines), but the row-shape we ship is compatible with those tools’ outputs, so the consuming analytic code does not need to be rewritten when a registry steps up.</w:t>
      </w:r>
    </w:p>
    <w:p>
      <w:pPr>
        <w:pStyle w:val="Heading2"/>
        <w:spacing w:after="120" w:before="200"/>
      </w:pPr>
      <w:r>
        <w:rPr>
          <w:rFonts w:ascii="Arial" w:cs="Arial" w:eastAsia="Arial" w:hAnsi="Arial"/>
          <w:b/>
          <w:bCs/>
          <w:i/>
          <w:iCs/>
          <w:sz w:val="24"/>
          <w:szCs w:val="24"/>
        </w:rPr>
        <w:t xml:space="preserve">Local-first architecture as compliance simplifier</w:t>
      </w:r>
    </w:p>
    <w:p>
      <w:pPr>
        <w:spacing w:after="120" w:line="276"/>
        <w:jc w:val="left"/>
      </w:pPr>
      <w:r>
        <w:rPr>
          <w:rFonts w:ascii="Arial" w:cs="Arial" w:eastAsia="Arial" w:hAnsi="Arial"/>
          <w:sz w:val="22"/>
          <w:szCs w:val="22"/>
        </w:rPr>
        <w:t xml:space="preserve">By keeping all parsing, joining, OMOP mapping, and rendering on the analyst’s workstation, we avoid the substantial compliance overhead of standing up a server-backed application for what is fundamentally a single-user research tool. The dashboard is a static HTML file consuming a single JSON bundle, with no API surface, no authentication layer, and no telemetry. Sharing across a small research team uses organizational Box (or equivalent) with named-user access, which inherits an existing Business Associate Agreement and audit logging without requiring custom infrastructure. This pattern is particularly important for smaller registries where the cost of a full server-backed analytics deployment may be prohibitive.</w:t>
      </w:r>
    </w:p>
    <w:p>
      <w:pPr>
        <w:pStyle w:val="Heading2"/>
        <w:spacing w:after="120" w:before="200"/>
      </w:pPr>
      <w:r>
        <w:rPr>
          <w:rFonts w:ascii="Arial" w:cs="Arial" w:eastAsia="Arial" w:hAnsi="Arial"/>
          <w:b/>
          <w:bCs/>
          <w:i/>
          <w:iCs/>
          <w:sz w:val="24"/>
          <w:szCs w:val="24"/>
        </w:rPr>
        <w:t xml:space="preserve">Limitations</w:t>
      </w:r>
    </w:p>
    <w:p>
      <w:pPr>
        <w:spacing w:after="120" w:line="276"/>
        <w:jc w:val="left"/>
      </w:pPr>
      <w:r>
        <w:rPr>
          <w:rFonts w:ascii="Arial" w:cs="Arial" w:eastAsia="Arial" w:hAnsi="Arial"/>
          <w:sz w:val="22"/>
          <w:szCs w:val="22"/>
        </w:rPr>
        <w:t xml:space="preserve">First, the pipeline does not perform deduplication where C-CDA and FHIR sources report the same clinical fact (e.g. an ICD-10 diagnosis present in both a C-CDA Problem List and a FHIR Condition resource). Each instance is presented separately with a source tag. Downstream analyses that require de-duplicated facts must address this. Second, exact-match name-based linkage to study identifiers (the ARC SubjectID) was not robust at our pilot scale due to format differences and missing demographics for FHIR-only patients; future work will explore probabilistic record linkage [21]. Third, the LOINC enrichment lookup is hand-curated and limited; integration with a proper terminology service (e.g. UMLS via API [25]) would provide more comprehensive coverage. Fourth, our experience is drawn from a single registry pulling from a small number of EHR vendors; other registries’ patterns may differ. Fifth, the OMOP ETL implementation reported here covers the standard OHDSI source vocabulary set and standard CDM v5.4 tables; specialized vocabularies (HemOnc, NDC, ATC) and specialized CDM tables (NOTE, NOTE_NLP, EPISODE) are not included and would require module extensions for registries needing them. Sixth, the regex-based note-extraction module is not validated NLP — the shipped patterns are seed patterns for ALS registries and require site-specific tuning before captured values feed analysis; production-grade clinical NLP applications should use cTAKES, MedSpaCy, or transformer-based pipelines. Seventh, the per-domain code-system preferences applied during prioritization (RxNorm for medications, SNOMED CT for problems, LOINC for labs) reflect choices appropriate for adult medical research in the United States but are not universal: pediatric, surgical, or international registries may prefer different orderings, and the full list of source codings is preserved on every row to support alternative selections without re-extraction. Eighth, the Phenopackets ETL ships seed mappings for three disease areas (ALS spectrum, epilepsy, autoimmune) and registries with different disease focus must extend the seed dictionaries before submission to matchmaker or beacon networks. The module exposes three operating modes — structured-only, structured plus curated genetics, and structured plus NLP demonstration plus curated genetics — and the production-recommended default for ARC is structured-only with the external_genetics_csv parameter populated when curated variant data is available. The NLP layer is currently treated as a demonstration: the regex patterns are seed patterns intended for site-specific tuning, and we hold note-derived content out of production output until clinical review of the patterns is complete. Ninth, every output described in this paper requires recurring quality control. The five-tier framework described above (schema validation, mapping coverage, cross-output consistency, clinician spot-review, synthetic regression) is the minimum we recommend, modeled on the Kahn et al. data-quality terminology [28]; registries that cannot allocate clinician time for periodic Tier 4 review during pilot phase should scale back automated outputs (e.g., produce Phenopackets internally but defer Matchmaker submission) until that capacity exists.</w:t>
      </w:r>
    </w:p>
    <w:p>
      <w:pPr>
        <w:pStyle w:val="Heading1"/>
        <w:spacing w:after="160" w:before="280"/>
      </w:pPr>
      <w:r>
        <w:rPr>
          <w:rFonts w:ascii="Arial" w:cs="Arial" w:eastAsia="Arial" w:hAnsi="Arial"/>
          <w:b/>
          <w:bCs/>
          <w:sz w:val="28"/>
          <w:szCs w:val="28"/>
        </w:rPr>
        <w:t xml:space="preserve">CONCLUSION</w:t>
      </w:r>
    </w:p>
    <w:p>
      <w:pPr>
        <w:spacing w:after="120" w:line="276"/>
        <w:jc w:val="left"/>
      </w:pPr>
      <w:r>
        <w:rPr>
          <w:rFonts w:ascii="Arial" w:cs="Arial" w:eastAsia="Arial" w:hAnsi="Arial"/>
          <w:sz w:val="22"/>
          <w:szCs w:val="22"/>
        </w:rPr>
        <w:t xml:space="preserve">Patient-directed SMART on FHIR has substantially expanded the data acquisition options available to patient registries, including non-network-affiliated registries that previously could not feasibly aggregate longitudinal records across multiple health systems. The analytics work required to make this acquired data useful is non-trivial, and the burden falls disproportionately on small registries that lack in-house data engineering capacity. We describe Registry Forge, a Python pipeline of approximately 2,200 lines of code that closes this gap end-to-end with minimal infrastructure: it converts a heterogeneous, un-linked clinical document repository into a researcher-usable browser viewer, an OHDSI-conformant OMOP CDM v5.4 dataset tagged by Athena vocabulary release, a code inventory CSV, and a regex-driven extraction of disease-specific content from unstructured note text. The pattern — magic-byte format detection, type-specific extraction, identifier reconciliation against the canonical audit table, ontology-aware display-name enrichment, configuration-driven test-record filtering, code inventorying, OMOP standardization with version-tagged outputs, and pattern-based unstructured-text recovery — is broadly applicable to any registry acquiring data through patient-directed SMART on FHIR. The full implementation, including the synthetic demonstration dataset, is publicly available at https://boycelab.github.io/RegistryForge/.</w:t>
      </w:r>
    </w:p>
    <w:p>
      <w:pPr>
        <w:pStyle w:val="Heading1"/>
        <w:spacing w:after="160" w:before="280"/>
      </w:pPr>
      <w:r>
        <w:rPr>
          <w:rFonts w:ascii="Arial" w:cs="Arial" w:eastAsia="Arial" w:hAnsi="Arial"/>
          <w:b/>
          <w:bCs/>
          <w:sz w:val="28"/>
          <w:szCs w:val="28"/>
        </w:rPr>
        <w:t xml:space="preserve">FUNDING AND DISCLOSURES</w:t>
      </w:r>
    </w:p>
    <w:p>
      <w:pPr>
        <w:spacing w:after="120" w:line="276"/>
        <w:jc w:val="left"/>
      </w:pPr>
      <w:r>
        <w:rPr>
          <w:rFonts w:ascii="Arial" w:cs="Arial" w:eastAsia="Arial" w:hAnsi="Arial"/>
          <w:sz w:val="22"/>
          <w:szCs w:val="22"/>
        </w:rPr>
        <w:t xml:space="preserve">This work was supported by the ALS Therapy Development Institute. No external funding was received. The authors declare no competing interests. The ARC Study operates under IRB oversight; the activities described here are within the approved protocol for secondary data analysis.</w:t>
      </w:r>
    </w:p>
    <w:p>
      <w:pPr>
        <w:pStyle w:val="Heading1"/>
        <w:spacing w:after="160" w:before="280"/>
      </w:pPr>
      <w:r>
        <w:rPr>
          <w:rFonts w:ascii="Arial" w:cs="Arial" w:eastAsia="Arial" w:hAnsi="Arial"/>
          <w:b/>
          <w:bCs/>
          <w:sz w:val="28"/>
          <w:szCs w:val="28"/>
        </w:rPr>
        <w:t xml:space="preserve">DATA AND CODE AVAILABILITY</w:t>
      </w:r>
    </w:p>
    <w:p>
      <w:pPr>
        <w:spacing w:after="120" w:line="276"/>
        <w:jc w:val="left"/>
      </w:pPr>
      <w:r>
        <w:rPr>
          <w:rFonts w:ascii="Arial" w:cs="Arial" w:eastAsia="Arial" w:hAnsi="Arial"/>
          <w:sz w:val="22"/>
          <w:szCs w:val="22"/>
        </w:rPr>
        <w:t xml:space="preserve">Source code for run_pipeline.py, omop_etl.py, note_extraction.py, dashboard.html, and the synthetic-demonstration cohort is publicly available. The clinical data described in this manuscript cannot be shared due to HIPAA constraints; the ARC Data Commons (data.als.net) provides de-identified versions of selected ARC Study data for the broader research community.</w:t>
      </w:r>
    </w:p>
    <w:p>
      <w:pPr>
        <w:pStyle w:val="Heading1"/>
        <w:spacing w:after="160" w:before="280"/>
      </w:pPr>
      <w:r>
        <w:rPr>
          <w:rFonts w:ascii="Arial" w:cs="Arial" w:eastAsia="Arial" w:hAnsi="Arial"/>
          <w:b/>
          <w:bCs/>
          <w:sz w:val="28"/>
          <w:szCs w:val="28"/>
        </w:rPr>
        <w:t xml:space="preserve">REFERENCES</w:t>
      </w:r>
    </w:p>
    <w:p>
      <w:pPr>
        <w:spacing w:after="80" w:line="276"/>
        <w:jc w:val="left"/>
      </w:pPr>
      <w:r>
        <w:rPr>
          <w:rFonts w:ascii="Arial" w:cs="Arial" w:eastAsia="Arial" w:hAnsi="Arial"/>
          <w:b/>
          <w:bCs/>
          <w:i w:val="false"/>
          <w:iCs w:val="false"/>
          <w:sz w:val="22"/>
          <w:szCs w:val="22"/>
        </w:rPr>
        <w:t xml:space="preserve">1. </w:t>
      </w:r>
      <w:r>
        <w:rPr>
          <w:rFonts w:ascii="Arial" w:cs="Arial" w:eastAsia="Arial" w:hAnsi="Arial"/>
          <w:b w:val="false"/>
          <w:bCs w:val="false"/>
          <w:i w:val="false"/>
          <w:iCs w:val="false"/>
          <w:sz w:val="22"/>
          <w:szCs w:val="22"/>
        </w:rPr>
        <w:t xml:space="preserve">Mandel JC, Kreda DA, Mandl KD, Kohane IS, Ramoni RB. SMART on FHIR: a standards-based, interoperable apps platform for electronic health records. J Am Med Inform Assoc. 2016;23(5):899-908.</w:t>
      </w:r>
    </w:p>
    <w:p>
      <w:pPr>
        <w:spacing w:after="80" w:line="276"/>
        <w:jc w:val="left"/>
      </w:pPr>
      <w:r>
        <w:rPr>
          <w:rFonts w:ascii="Arial" w:cs="Arial" w:eastAsia="Arial" w:hAnsi="Arial"/>
          <w:b/>
          <w:bCs/>
          <w:i w:val="false"/>
          <w:iCs w:val="false"/>
          <w:sz w:val="22"/>
          <w:szCs w:val="22"/>
        </w:rPr>
        <w:t xml:space="preserve">2. </w:t>
      </w:r>
      <w:r>
        <w:rPr>
          <w:rFonts w:ascii="Arial" w:cs="Arial" w:eastAsia="Arial" w:hAnsi="Arial"/>
          <w:b w:val="false"/>
          <w:bCs w:val="false"/>
          <w:i w:val="false"/>
          <w:iCs w:val="false"/>
          <w:sz w:val="22"/>
          <w:szCs w:val="22"/>
        </w:rPr>
        <w:t xml:space="preserve">Bender D, Sartipi K. HL7 FHIR: An agile and RESTful approach to healthcare information exchange. Proc IEEE CBMS. 2013:326-331.</w:t>
      </w:r>
    </w:p>
    <w:p>
      <w:pPr>
        <w:spacing w:after="80" w:line="276"/>
        <w:jc w:val="left"/>
      </w:pPr>
      <w:r>
        <w:rPr>
          <w:rFonts w:ascii="Arial" w:cs="Arial" w:eastAsia="Arial" w:hAnsi="Arial"/>
          <w:b/>
          <w:bCs/>
          <w:i w:val="false"/>
          <w:iCs w:val="false"/>
          <w:sz w:val="22"/>
          <w:szCs w:val="22"/>
        </w:rPr>
        <w:t xml:space="preserve">3. </w:t>
      </w:r>
      <w:r>
        <w:rPr>
          <w:rFonts w:ascii="Arial" w:cs="Arial" w:eastAsia="Arial" w:hAnsi="Arial"/>
          <w:b w:val="false"/>
          <w:bCs w:val="false"/>
          <w:i w:val="false"/>
          <w:iCs w:val="false"/>
          <w:sz w:val="22"/>
          <w:szCs w:val="22"/>
        </w:rPr>
        <w:t xml:space="preserve">Office of the National Coordinator for Health Information Technology. 21st Century Cures Act: Interoperability, Information Blocking, and the ONC Health IT Certification Program. Final Rule. Fed Regist. 2020;85(85):25642-25961.</w:t>
      </w:r>
    </w:p>
    <w:p>
      <w:pPr>
        <w:spacing w:after="80" w:line="276"/>
        <w:jc w:val="left"/>
      </w:pPr>
      <w:r>
        <w:rPr>
          <w:rFonts w:ascii="Arial" w:cs="Arial" w:eastAsia="Arial" w:hAnsi="Arial"/>
          <w:b/>
          <w:bCs/>
          <w:i w:val="false"/>
          <w:iCs w:val="false"/>
          <w:sz w:val="22"/>
          <w:szCs w:val="22"/>
        </w:rPr>
        <w:t xml:space="preserve">4. </w:t>
      </w:r>
      <w:r>
        <w:rPr>
          <w:rFonts w:ascii="Arial" w:cs="Arial" w:eastAsia="Arial" w:hAnsi="Arial"/>
          <w:b w:val="false"/>
          <w:bCs w:val="false"/>
          <w:i w:val="false"/>
          <w:iCs w:val="false"/>
          <w:sz w:val="22"/>
          <w:szCs w:val="22"/>
        </w:rPr>
        <w:t xml:space="preserve">Posnack S, Barker W. Heat wave: the U.S. is poised to catch FHIR in 2022. ONC Health IT Buzz Blog. 2021. https://www.healthit.gov/buzz-blog/</w:t>
      </w:r>
    </w:p>
    <w:p>
      <w:pPr>
        <w:spacing w:after="80" w:line="276"/>
        <w:jc w:val="left"/>
      </w:pPr>
      <w:r>
        <w:rPr>
          <w:rFonts w:ascii="Arial" w:cs="Arial" w:eastAsia="Arial" w:hAnsi="Arial"/>
          <w:b/>
          <w:bCs/>
          <w:i w:val="false"/>
          <w:iCs w:val="false"/>
          <w:sz w:val="22"/>
          <w:szCs w:val="22"/>
        </w:rPr>
        <w:t xml:space="preserve">5. </w:t>
      </w:r>
      <w:r>
        <w:rPr>
          <w:rFonts w:ascii="Arial" w:cs="Arial" w:eastAsia="Arial" w:hAnsi="Arial"/>
          <w:b w:val="false"/>
          <w:bCs w:val="false"/>
          <w:i w:val="false"/>
          <w:iCs w:val="false"/>
          <w:sz w:val="22"/>
          <w:szCs w:val="22"/>
        </w:rPr>
        <w:t xml:space="preserve">Apple Inc. Health Records on iPhone: Architectural overview and FHIR R4 integration. Apple Developer Documentation, accessed 2026. https://developer.apple.com/health-records/</w:t>
      </w:r>
    </w:p>
    <w:p>
      <w:pPr>
        <w:spacing w:after="80" w:line="276"/>
        <w:jc w:val="left"/>
      </w:pPr>
      <w:r>
        <w:rPr>
          <w:rFonts w:ascii="Arial" w:cs="Arial" w:eastAsia="Arial" w:hAnsi="Arial"/>
          <w:b/>
          <w:bCs/>
          <w:i w:val="false"/>
          <w:iCs w:val="false"/>
          <w:sz w:val="22"/>
          <w:szCs w:val="22"/>
        </w:rPr>
        <w:t xml:space="preserve">6. </w:t>
      </w:r>
      <w:r>
        <w:rPr>
          <w:rFonts w:ascii="Arial" w:cs="Arial" w:eastAsia="Arial" w:hAnsi="Arial"/>
          <w:b w:val="false"/>
          <w:bCs w:val="false"/>
          <w:i w:val="false"/>
          <w:iCs w:val="false"/>
          <w:sz w:val="22"/>
          <w:szCs w:val="22"/>
        </w:rPr>
        <w:t xml:space="preserve">CareEvolution Inc. MyDataHelps research and clinical-trial platform: SMART on FHIR and Blue Button 2.0 integration. https://careevolution.com/mydatahelps/ (accessed 2026).</w:t>
      </w:r>
    </w:p>
    <w:p>
      <w:pPr>
        <w:spacing w:after="80" w:line="276"/>
        <w:jc w:val="left"/>
      </w:pPr>
      <w:r>
        <w:rPr>
          <w:rFonts w:ascii="Arial" w:cs="Arial" w:eastAsia="Arial" w:hAnsi="Arial"/>
          <w:b/>
          <w:bCs/>
          <w:i w:val="false"/>
          <w:iCs w:val="false"/>
          <w:sz w:val="22"/>
          <w:szCs w:val="22"/>
        </w:rPr>
        <w:t xml:space="preserve">7. </w:t>
      </w:r>
      <w:r>
        <w:rPr>
          <w:rFonts w:ascii="Arial" w:cs="Arial" w:eastAsia="Arial" w:hAnsi="Arial"/>
          <w:b w:val="false"/>
          <w:bCs w:val="false"/>
          <w:i w:val="false"/>
          <w:iCs w:val="false"/>
          <w:sz w:val="22"/>
          <w:szCs w:val="22"/>
        </w:rPr>
        <w:t xml:space="preserve">CareEvolution Inc. myFHR consumer health record application. https://careevolution.com/myfhr/ (accessed 2026).</w:t>
      </w:r>
    </w:p>
    <w:p>
      <w:pPr>
        <w:spacing w:after="80" w:line="276"/>
        <w:jc w:val="left"/>
      </w:pPr>
      <w:r>
        <w:rPr>
          <w:rFonts w:ascii="Arial" w:cs="Arial" w:eastAsia="Arial" w:hAnsi="Arial"/>
          <w:b/>
          <w:bCs/>
          <w:i w:val="false"/>
          <w:iCs w:val="false"/>
          <w:sz w:val="22"/>
          <w:szCs w:val="22"/>
        </w:rPr>
        <w:t xml:space="preserve">8. </w:t>
      </w:r>
      <w:r>
        <w:rPr>
          <w:rFonts w:ascii="Arial" w:cs="Arial" w:eastAsia="Arial" w:hAnsi="Arial"/>
          <w:b w:val="false"/>
          <w:bCs w:val="false"/>
          <w:i w:val="false"/>
          <w:iCs w:val="false"/>
          <w:sz w:val="22"/>
          <w:szCs w:val="22"/>
        </w:rPr>
        <w:t xml:space="preserve">Lochmüller H, et al. RareLink: scalable REDCap-based framework for rare disease interoperability linking international registries to FHIR and Phenopackets. PLOS Digit Health (in press); preprint medRxiv 2025.05.09.25327342.</w:t>
      </w:r>
    </w:p>
    <w:p>
      <w:pPr>
        <w:spacing w:after="80" w:line="276"/>
        <w:jc w:val="left"/>
      </w:pPr>
      <w:r>
        <w:rPr>
          <w:rFonts w:ascii="Arial" w:cs="Arial" w:eastAsia="Arial" w:hAnsi="Arial"/>
          <w:b/>
          <w:bCs/>
          <w:i w:val="false"/>
          <w:iCs w:val="false"/>
          <w:sz w:val="22"/>
          <w:szCs w:val="22"/>
        </w:rPr>
        <w:t xml:space="preserve">9. </w:t>
      </w:r>
      <w:r>
        <w:rPr>
          <w:rFonts w:ascii="Arial" w:cs="Arial" w:eastAsia="Arial" w:hAnsi="Arial"/>
          <w:b w:val="false"/>
          <w:bCs w:val="false"/>
          <w:i w:val="false"/>
          <w:iCs w:val="false"/>
          <w:sz w:val="22"/>
          <w:szCs w:val="22"/>
        </w:rPr>
        <w:t xml:space="preserve">Pulse Infoframe Inc. healthie evidence-generation platform for rare-disease and natural-history registries. https://www.pulseinfoframe.com/ (accessed 2026).</w:t>
      </w:r>
    </w:p>
    <w:p>
      <w:pPr>
        <w:spacing w:after="80" w:line="276"/>
        <w:jc w:val="left"/>
      </w:pPr>
      <w:r>
        <w:rPr>
          <w:rFonts w:ascii="Arial" w:cs="Arial" w:eastAsia="Arial" w:hAnsi="Arial"/>
          <w:b/>
          <w:bCs/>
          <w:i w:val="false"/>
          <w:iCs w:val="false"/>
          <w:sz w:val="22"/>
          <w:szCs w:val="22"/>
        </w:rPr>
        <w:t xml:space="preserve">10. </w:t>
      </w:r>
      <w:r>
        <w:rPr>
          <w:rFonts w:ascii="Arial" w:cs="Arial" w:eastAsia="Arial" w:hAnsi="Arial"/>
          <w:b w:val="false"/>
          <w:bCs w:val="false"/>
          <w:i w:val="false"/>
          <w:iCs w:val="false"/>
          <w:sz w:val="22"/>
          <w:szCs w:val="22"/>
        </w:rPr>
        <w:t xml:space="preserve">ALS Therapy Development Institute. ARC Study: Natural-history study of amyotrophic lateral sclerosis. https://www.als.net/arc/ (accessed 2026).</w:t>
      </w:r>
    </w:p>
    <w:p>
      <w:pPr>
        <w:spacing w:after="80" w:line="276"/>
        <w:jc w:val="left"/>
      </w:pPr>
      <w:r>
        <w:rPr>
          <w:rFonts w:ascii="Arial" w:cs="Arial" w:eastAsia="Arial" w:hAnsi="Arial"/>
          <w:b/>
          <w:bCs/>
          <w:i w:val="false"/>
          <w:iCs w:val="false"/>
          <w:sz w:val="22"/>
          <w:szCs w:val="22"/>
        </w:rPr>
        <w:t xml:space="preserve">11. </w:t>
      </w:r>
      <w:r>
        <w:rPr>
          <w:rFonts w:ascii="Arial" w:cs="Arial" w:eastAsia="Arial" w:hAnsi="Arial"/>
          <w:b w:val="false"/>
          <w:bCs w:val="false"/>
          <w:i w:val="false"/>
          <w:iCs w:val="false"/>
          <w:sz w:val="22"/>
          <w:szCs w:val="22"/>
        </w:rPr>
        <w:t xml:space="preserve">D’Amore JD, Mandel JC, Kreda DA, et al. Are Meaningful Use Stage 2 certified EHRs ready for interoperability? Findings from the SMART C-CDA Collaborative. J Am Med Inform Assoc. 2014;21(6):1060-1068.</w:t>
      </w:r>
    </w:p>
    <w:p>
      <w:pPr>
        <w:spacing w:after="80" w:line="276"/>
        <w:jc w:val="left"/>
      </w:pPr>
      <w:r>
        <w:rPr>
          <w:rFonts w:ascii="Arial" w:cs="Arial" w:eastAsia="Arial" w:hAnsi="Arial"/>
          <w:b/>
          <w:bCs/>
          <w:i w:val="false"/>
          <w:iCs w:val="false"/>
          <w:sz w:val="22"/>
          <w:szCs w:val="22"/>
        </w:rPr>
        <w:t xml:space="preserve">12. </w:t>
      </w:r>
      <w:r>
        <w:rPr>
          <w:rFonts w:ascii="Arial" w:cs="Arial" w:eastAsia="Arial" w:hAnsi="Arial"/>
          <w:b w:val="false"/>
          <w:bCs w:val="false"/>
          <w:i w:val="false"/>
          <w:iCs w:val="false"/>
          <w:sz w:val="22"/>
          <w:szCs w:val="22"/>
        </w:rPr>
        <w:t xml:space="preserve">Hong N, Wen A, Stone DJ, et al. Developing a FHIR-based EHR phenotyping framework: A case study for identification of patients with obesity and multiple comorbidities from discharge summaries. J Biomed Inform. 2019;99:103310.</w:t>
      </w:r>
    </w:p>
    <w:p>
      <w:pPr>
        <w:spacing w:after="80" w:line="276"/>
        <w:jc w:val="left"/>
      </w:pPr>
      <w:r>
        <w:rPr>
          <w:rFonts w:ascii="Arial" w:cs="Arial" w:eastAsia="Arial" w:hAnsi="Arial"/>
          <w:b/>
          <w:bCs/>
          <w:i w:val="false"/>
          <w:iCs w:val="false"/>
          <w:sz w:val="22"/>
          <w:szCs w:val="22"/>
        </w:rPr>
        <w:t xml:space="preserve">13. </w:t>
      </w:r>
      <w:r>
        <w:rPr>
          <w:rFonts w:ascii="Arial" w:cs="Arial" w:eastAsia="Arial" w:hAnsi="Arial"/>
          <w:b w:val="false"/>
          <w:bCs w:val="false"/>
          <w:i w:val="false"/>
          <w:iCs w:val="false"/>
          <w:sz w:val="22"/>
          <w:szCs w:val="22"/>
        </w:rPr>
        <w:t xml:space="preserve">McDonald CJ, Huff SM, Suico JG, et al. LOINC, a universal standard for identifying laboratory observations: a 5-year update. Clin Chem. 2003;49(4):624-633.</w:t>
      </w:r>
    </w:p>
    <w:p>
      <w:pPr>
        <w:spacing w:after="80" w:line="276"/>
        <w:jc w:val="left"/>
      </w:pPr>
      <w:r>
        <w:rPr>
          <w:rFonts w:ascii="Arial" w:cs="Arial" w:eastAsia="Arial" w:hAnsi="Arial"/>
          <w:b/>
          <w:bCs/>
          <w:i w:val="false"/>
          <w:iCs w:val="false"/>
          <w:sz w:val="22"/>
          <w:szCs w:val="22"/>
        </w:rPr>
        <w:t xml:space="preserve">14. </w:t>
      </w:r>
      <w:r>
        <w:rPr>
          <w:rFonts w:ascii="Arial" w:cs="Arial" w:eastAsia="Arial" w:hAnsi="Arial"/>
          <w:b w:val="false"/>
          <w:bCs w:val="false"/>
          <w:i w:val="false"/>
          <w:iCs w:val="false"/>
          <w:sz w:val="22"/>
          <w:szCs w:val="22"/>
        </w:rPr>
        <w:t xml:space="preserve">Observational Health Data Sciences and Informatics. OMOP Common Data Model v5.4 specification. https://ohdsi.github.io/CommonDataModel/cdm54.html (accessed 2026).</w:t>
      </w:r>
    </w:p>
    <w:p>
      <w:pPr>
        <w:spacing w:after="80" w:line="276"/>
        <w:jc w:val="left"/>
      </w:pPr>
      <w:r>
        <w:rPr>
          <w:rFonts w:ascii="Arial" w:cs="Arial" w:eastAsia="Arial" w:hAnsi="Arial"/>
          <w:b/>
          <w:bCs/>
          <w:i w:val="false"/>
          <w:iCs w:val="false"/>
          <w:sz w:val="22"/>
          <w:szCs w:val="22"/>
        </w:rPr>
        <w:t xml:space="preserve">15. </w:t>
      </w:r>
      <w:r>
        <w:rPr>
          <w:rFonts w:ascii="Arial" w:cs="Arial" w:eastAsia="Arial" w:hAnsi="Arial"/>
          <w:b w:val="false"/>
          <w:bCs w:val="false"/>
          <w:i w:val="false"/>
          <w:iCs w:val="false"/>
          <w:sz w:val="22"/>
          <w:szCs w:val="22"/>
        </w:rPr>
        <w:t xml:space="preserve">Voss EA, Makadia R, Matcho A, et al. Feasibility and utility of applications of the common data model to multiple, disparate observational health databases. J Am Med Inform Assoc. 2015;22(3):553-564.</w:t>
      </w:r>
    </w:p>
    <w:p>
      <w:pPr>
        <w:spacing w:after="80" w:line="276"/>
        <w:jc w:val="left"/>
      </w:pPr>
      <w:r>
        <w:rPr>
          <w:rFonts w:ascii="Arial" w:cs="Arial" w:eastAsia="Arial" w:hAnsi="Arial"/>
          <w:b/>
          <w:bCs/>
          <w:i w:val="false"/>
          <w:iCs w:val="false"/>
          <w:sz w:val="22"/>
          <w:szCs w:val="22"/>
        </w:rPr>
        <w:t xml:space="preserve">16. </w:t>
      </w:r>
      <w:r>
        <w:rPr>
          <w:rFonts w:ascii="Arial" w:cs="Arial" w:eastAsia="Arial" w:hAnsi="Arial"/>
          <w:b w:val="false"/>
          <w:bCs w:val="false"/>
          <w:i w:val="false"/>
          <w:iCs w:val="false"/>
          <w:sz w:val="22"/>
          <w:szCs w:val="22"/>
        </w:rPr>
        <w:t xml:space="preserve">Savova GK, Masanz JJ, Ogren PV, et al. Mayo clinical Text Analysis and Knowledge Extraction System (cTAKES): architecture, component evaluation and applications. J Am Med Inform Assoc. 2010;17(5):507-513.</w:t>
      </w:r>
    </w:p>
    <w:p>
      <w:pPr>
        <w:spacing w:after="80" w:line="276"/>
        <w:jc w:val="left"/>
      </w:pPr>
      <w:r>
        <w:rPr>
          <w:rFonts w:ascii="Arial" w:cs="Arial" w:eastAsia="Arial" w:hAnsi="Arial"/>
          <w:b/>
          <w:bCs/>
          <w:i w:val="false"/>
          <w:iCs w:val="false"/>
          <w:sz w:val="22"/>
          <w:szCs w:val="22"/>
        </w:rPr>
        <w:t xml:space="preserve">17. </w:t>
      </w:r>
      <w:r>
        <w:rPr>
          <w:rFonts w:ascii="Arial" w:cs="Arial" w:eastAsia="Arial" w:hAnsi="Arial"/>
          <w:b w:val="false"/>
          <w:bCs w:val="false"/>
          <w:i w:val="false"/>
          <w:iCs w:val="false"/>
          <w:sz w:val="22"/>
          <w:szCs w:val="22"/>
        </w:rPr>
        <w:t xml:space="preserve">Eyre H, Chapman AB, Peterson KS, et al. Launching into clinical space with medspaCy: a new clinical text processing toolkit in Python. AMIA Annu Symp Proc. 2021:438-447.</w:t>
      </w:r>
    </w:p>
    <w:p>
      <w:pPr>
        <w:spacing w:after="80" w:line="276"/>
        <w:jc w:val="left"/>
      </w:pPr>
      <w:r>
        <w:rPr>
          <w:rFonts w:ascii="Arial" w:cs="Arial" w:eastAsia="Arial" w:hAnsi="Arial"/>
          <w:b/>
          <w:bCs/>
          <w:i w:val="false"/>
          <w:iCs w:val="false"/>
          <w:sz w:val="22"/>
          <w:szCs w:val="22"/>
        </w:rPr>
        <w:t xml:space="preserve">18. </w:t>
      </w:r>
      <w:r>
        <w:rPr>
          <w:rFonts w:ascii="Arial" w:cs="Arial" w:eastAsia="Arial" w:hAnsi="Arial"/>
          <w:b w:val="false"/>
          <w:bCs w:val="false"/>
          <w:i w:val="false"/>
          <w:iCs w:val="false"/>
          <w:sz w:val="22"/>
          <w:szCs w:val="22"/>
        </w:rPr>
        <w:t xml:space="preserve">Lehne M, Sass J, Essenwanger A, Schepers J, Thun S. Why digital medicine depends on interoperability. NPJ Digit Med. 2019;2:79.</w:t>
      </w:r>
    </w:p>
    <w:p>
      <w:pPr>
        <w:spacing w:after="80" w:line="276"/>
        <w:jc w:val="left"/>
      </w:pPr>
      <w:r>
        <w:rPr>
          <w:rFonts w:ascii="Arial" w:cs="Arial" w:eastAsia="Arial" w:hAnsi="Arial"/>
          <w:b/>
          <w:bCs/>
          <w:i w:val="false"/>
          <w:iCs w:val="false"/>
          <w:sz w:val="22"/>
          <w:szCs w:val="22"/>
        </w:rPr>
        <w:t xml:space="preserve">19. </w:t>
      </w:r>
      <w:r>
        <w:rPr>
          <w:rFonts w:ascii="Arial" w:cs="Arial" w:eastAsia="Arial" w:hAnsi="Arial"/>
          <w:b w:val="false"/>
          <w:bCs w:val="false"/>
          <w:i w:val="false"/>
          <w:iCs w:val="false"/>
          <w:sz w:val="22"/>
          <w:szCs w:val="22"/>
        </w:rPr>
        <w:t xml:space="preserve">Hripcsak G, Duke JD, Shah NH, et al. Observational Health Data Sciences and Informatics (OHDSI): opportunities for observational researchers. Stud Health Technol Inform. 2015;216:574-578.</w:t>
      </w:r>
    </w:p>
    <w:p>
      <w:pPr>
        <w:spacing w:after="80" w:line="276"/>
        <w:jc w:val="left"/>
      </w:pPr>
      <w:r>
        <w:rPr>
          <w:rFonts w:ascii="Arial" w:cs="Arial" w:eastAsia="Arial" w:hAnsi="Arial"/>
          <w:b/>
          <w:bCs/>
          <w:i w:val="false"/>
          <w:iCs w:val="false"/>
          <w:sz w:val="22"/>
          <w:szCs w:val="22"/>
        </w:rPr>
        <w:t xml:space="preserve">20. </w:t>
      </w:r>
      <w:r>
        <w:rPr>
          <w:rFonts w:ascii="Arial" w:cs="Arial" w:eastAsia="Arial" w:hAnsi="Arial"/>
          <w:b w:val="false"/>
          <w:bCs w:val="false"/>
          <w:i w:val="false"/>
          <w:iCs w:val="false"/>
          <w:sz w:val="22"/>
          <w:szCs w:val="22"/>
        </w:rPr>
        <w:t xml:space="preserve">Reps JM, Schuemie MJ, Suchard MA, Ryan PB, Rijnbeek PR. Design and implementation of a standardized framework to generate and evaluate patient-level prediction models using observational healthcare data. J Am Med Inform Assoc. 2018;25(8):969-975.</w:t>
      </w:r>
    </w:p>
    <w:p>
      <w:pPr>
        <w:spacing w:after="80" w:line="276"/>
        <w:jc w:val="left"/>
      </w:pPr>
      <w:r>
        <w:rPr>
          <w:rFonts w:ascii="Arial" w:cs="Arial" w:eastAsia="Arial" w:hAnsi="Arial"/>
          <w:b/>
          <w:bCs/>
          <w:i w:val="false"/>
          <w:iCs w:val="false"/>
          <w:sz w:val="22"/>
          <w:szCs w:val="22"/>
        </w:rPr>
        <w:t xml:space="preserve">21. </w:t>
      </w:r>
      <w:r>
        <w:rPr>
          <w:rFonts w:ascii="Arial" w:cs="Arial" w:eastAsia="Arial" w:hAnsi="Arial"/>
          <w:b w:val="false"/>
          <w:bCs w:val="false"/>
          <w:i w:val="false"/>
          <w:iCs w:val="false"/>
          <w:sz w:val="22"/>
          <w:szCs w:val="22"/>
        </w:rPr>
        <w:t xml:space="preserve">Sayers A, Ben-Shlomo Y, Blom AW, Steele F. Probabilistic record linkage. Int J Epidemiol. 2016;45(3):954-964.</w:t>
      </w:r>
    </w:p>
    <w:p>
      <w:pPr>
        <w:spacing w:after="80" w:line="276"/>
        <w:jc w:val="left"/>
      </w:pPr>
      <w:r>
        <w:rPr>
          <w:rFonts w:ascii="Arial" w:cs="Arial" w:eastAsia="Arial" w:hAnsi="Arial"/>
          <w:b/>
          <w:bCs/>
          <w:i w:val="false"/>
          <w:iCs w:val="false"/>
          <w:sz w:val="22"/>
          <w:szCs w:val="22"/>
        </w:rPr>
        <w:t xml:space="preserve">22. </w:t>
      </w:r>
      <w:r>
        <w:rPr>
          <w:rFonts w:ascii="Arial" w:cs="Arial" w:eastAsia="Arial" w:hAnsi="Arial"/>
          <w:b w:val="false"/>
          <w:bCs w:val="false"/>
          <w:i w:val="false"/>
          <w:iCs w:val="false"/>
          <w:sz w:val="22"/>
          <w:szCs w:val="22"/>
        </w:rPr>
        <w:t xml:space="preserve">Jacobsen JOB, Baudis M, Baynam GS, et al. The GA4GH Phenopacket schema defines a computable representation of clinical data. Nat Biotechnol. 2022;40(6):817-820.</w:t>
      </w:r>
    </w:p>
    <w:p>
      <w:pPr>
        <w:spacing w:after="80" w:line="276"/>
        <w:jc w:val="left"/>
      </w:pPr>
      <w:r>
        <w:rPr>
          <w:rFonts w:ascii="Arial" w:cs="Arial" w:eastAsia="Arial" w:hAnsi="Arial"/>
          <w:b/>
          <w:bCs/>
          <w:i w:val="false"/>
          <w:iCs w:val="false"/>
          <w:sz w:val="22"/>
          <w:szCs w:val="22"/>
        </w:rPr>
        <w:t xml:space="preserve">23. </w:t>
      </w:r>
      <w:r>
        <w:rPr>
          <w:rFonts w:ascii="Arial" w:cs="Arial" w:eastAsia="Arial" w:hAnsi="Arial"/>
          <w:b w:val="false"/>
          <w:bCs w:val="false"/>
          <w:i w:val="false"/>
          <w:iCs w:val="false"/>
          <w:sz w:val="22"/>
          <w:szCs w:val="22"/>
        </w:rPr>
        <w:t xml:space="preserve">Köhler S, Gargano M, Matentzoglu N, et al. The Human Phenotype Ontology in 2021. Nucleic Acids Res. 2021;49(D1):D1207-D1217.</w:t>
      </w:r>
    </w:p>
    <w:p>
      <w:pPr>
        <w:spacing w:after="80" w:line="276"/>
        <w:jc w:val="left"/>
      </w:pPr>
      <w:r>
        <w:rPr>
          <w:rFonts w:ascii="Arial" w:cs="Arial" w:eastAsia="Arial" w:hAnsi="Arial"/>
          <w:b/>
          <w:bCs/>
          <w:i w:val="false"/>
          <w:iCs w:val="false"/>
          <w:sz w:val="22"/>
          <w:szCs w:val="22"/>
        </w:rPr>
        <w:t xml:space="preserve">24. </w:t>
      </w:r>
      <w:r>
        <w:rPr>
          <w:rFonts w:ascii="Arial" w:cs="Arial" w:eastAsia="Arial" w:hAnsi="Arial"/>
          <w:b w:val="false"/>
          <w:bCs w:val="false"/>
          <w:i w:val="false"/>
          <w:iCs w:val="false"/>
          <w:sz w:val="22"/>
          <w:szCs w:val="22"/>
        </w:rPr>
        <w:t xml:space="preserve">Vasilevsky NA, Matentzoglu NA, Toro S, et al. Mondo: Unifying diseases for the world, by the world. medRxiv. 2022.04.13.22273750.</w:t>
      </w:r>
    </w:p>
    <w:p>
      <w:pPr>
        <w:spacing w:after="80" w:line="276"/>
        <w:jc w:val="left"/>
      </w:pPr>
      <w:r>
        <w:rPr>
          <w:rFonts w:ascii="Arial" w:cs="Arial" w:eastAsia="Arial" w:hAnsi="Arial"/>
          <w:b/>
          <w:bCs/>
          <w:i w:val="false"/>
          <w:iCs w:val="false"/>
          <w:sz w:val="22"/>
          <w:szCs w:val="22"/>
        </w:rPr>
        <w:t xml:space="preserve">25. </w:t>
      </w:r>
      <w:r>
        <w:rPr>
          <w:rFonts w:ascii="Arial" w:cs="Arial" w:eastAsia="Arial" w:hAnsi="Arial"/>
          <w:b w:val="false"/>
          <w:bCs w:val="false"/>
          <w:i w:val="false"/>
          <w:iCs w:val="false"/>
          <w:sz w:val="22"/>
          <w:szCs w:val="22"/>
        </w:rPr>
        <w:t xml:space="preserve">Bodenreider O. The Unified Medical Language System (UMLS): integrating biomedical terminology. Nucleic Acids Res. 2004;32:D267-D270.</w:t>
      </w:r>
    </w:p>
    <w:p>
      <w:pPr>
        <w:spacing w:after="80" w:line="276"/>
        <w:jc w:val="left"/>
      </w:pPr>
      <w:r>
        <w:rPr>
          <w:rFonts w:ascii="Arial" w:cs="Arial" w:eastAsia="Arial" w:hAnsi="Arial"/>
          <w:b/>
          <w:bCs/>
          <w:i w:val="false"/>
          <w:iCs w:val="false"/>
          <w:sz w:val="22"/>
          <w:szCs w:val="22"/>
        </w:rPr>
        <w:t xml:space="preserve">26. </w:t>
      </w:r>
      <w:r>
        <w:rPr>
          <w:rFonts w:ascii="Arial" w:cs="Arial" w:eastAsia="Arial" w:hAnsi="Arial"/>
          <w:b w:val="false"/>
          <w:bCs w:val="false"/>
          <w:i w:val="false"/>
          <w:iCs w:val="false"/>
          <w:sz w:val="22"/>
          <w:szCs w:val="22"/>
        </w:rPr>
        <w:t xml:space="preserve">Sayeed R, Gottlieb D, Mandl KD. SMART Markers: collecting patient-generated health data as a standardized property of health information technology. NPJ Digit Med. 2020;3:9.</w:t>
      </w:r>
    </w:p>
    <w:p>
      <w:pPr>
        <w:spacing w:after="80" w:line="276"/>
        <w:jc w:val="left"/>
      </w:pPr>
      <w:r>
        <w:rPr>
          <w:rFonts w:ascii="Arial" w:cs="Arial" w:eastAsia="Arial" w:hAnsi="Arial"/>
          <w:b/>
          <w:bCs/>
          <w:i w:val="false"/>
          <w:iCs w:val="false"/>
          <w:sz w:val="22"/>
          <w:szCs w:val="22"/>
        </w:rPr>
        <w:t xml:space="preserve">27. </w:t>
      </w:r>
      <w:r>
        <w:rPr>
          <w:rFonts w:ascii="Arial" w:cs="Arial" w:eastAsia="Arial" w:hAnsi="Arial"/>
          <w:b w:val="false"/>
          <w:bCs w:val="false"/>
          <w:i w:val="false"/>
          <w:iCs w:val="false"/>
          <w:sz w:val="22"/>
          <w:szCs w:val="22"/>
        </w:rPr>
        <w:t xml:space="preserve">Kohane IS, Aronow BJ, Avillach P, et al. What every reader should know about studies using electronic health record data but may be afraid to ask. J Med Internet Res. 2021;23(3):e22219.</w:t>
      </w:r>
    </w:p>
    <w:p>
      <w:pPr>
        <w:spacing w:after="80" w:line="276"/>
        <w:jc w:val="left"/>
      </w:pPr>
      <w:r>
        <w:rPr>
          <w:rFonts w:ascii="Arial" w:cs="Arial" w:eastAsia="Arial" w:hAnsi="Arial"/>
          <w:b/>
          <w:bCs/>
          <w:i w:val="false"/>
          <w:iCs w:val="false"/>
          <w:sz w:val="22"/>
          <w:szCs w:val="22"/>
        </w:rPr>
        <w:t xml:space="preserve">28. </w:t>
      </w:r>
      <w:r>
        <w:rPr>
          <w:rFonts w:ascii="Arial" w:cs="Arial" w:eastAsia="Arial" w:hAnsi="Arial"/>
          <w:b w:val="false"/>
          <w:bCs w:val="false"/>
          <w:i w:val="false"/>
          <w:iCs w:val="false"/>
          <w:sz w:val="22"/>
          <w:szCs w:val="22"/>
        </w:rPr>
        <w:t xml:space="preserve">Kahn MG, Callahan TJ, Barnard J, et al. A harmonized data quality assessment terminology and framework for the secondary use of electronic health record data. EGEMS (Wash DC). 2016;4(1):1244.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28"/>
      <w:szCs w:val="28"/>
    </w:rPr>
  </w:style>
  <w:style w:type="paragraph" w:styleId="Heading2">
    <w:name w:val="Heading 2"/>
    <w:basedOn w:val="Normal"/>
    <w:next w:val="Normal"/>
    <w:qFormat/>
    <w:pPr>
      <w:spacing w:after="120" w:before="200"/>
      <w:outlineLvl w:val="1"/>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2026-05-10T19:33:37.086Z</dcterms:created>
  <dcterms:modified xsi:type="dcterms:W3CDTF">2026-05-10T19:33:37.100Z</dcterms:modified>
</cp:coreProperties>
</file>

<file path=docProps/custom.xml><?xml version="1.0" encoding="utf-8"?>
<Properties xmlns="http://schemas.openxmlformats.org/officeDocument/2006/custom-properties" xmlns:vt="http://schemas.openxmlformats.org/officeDocument/2006/docPropsVTypes"/>
</file>