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b/>
          <w:bCs/>
        </w:rPr>
        <w:t xml:space="preserve">Bibliographie — Sujet 39</w:t>
      </w:r>
    </w:p>
    <w:p>
      <w:pPr>
        <w:pStyle w:val="Heading2"/>
        <w:spacing w:after="200"/>
      </w:pPr>
      <w:r>
        <w:t xml:space="preserve">« Le paradoxe du point aveugle » (Blind Spot Paradox)</w:t>
      </w:r>
    </w:p>
    <w:p>
      <w:pPr>
        <w:spacing w:after="300"/>
      </w:pPr>
      <w:r>
        <w:rPr>
          <w:i/>
          <w:iCs/>
          <w:color w:val="555555"/>
          <w:sz w:val="19"/>
          <w:szCs w:val="19"/>
        </w:rPr>
        <w:t xml:space="preserve">Filière Recherche · 3ème année · Groupe : Alexandre Boyer, Melaine Gouillou, Salomé Fonvielle, Ulysse Petit-Tichanné</w:t>
      </w:r>
    </w:p>
    <w:p>
      <w:pPr>
        <w:spacing w:after="300"/>
      </w:pPr>
      <w:r>
        <w:rPr>
          <w:sz w:val="19"/>
          <w:szCs w:val="19"/>
        </w:rPr>
        <w:t xml:space="preserve">13 références (10 extraites du sujet officiel, dont 7 cachées derrière des hyperliens du PDF non visibles en texte brut ; 3 supplémentaires trouvées dans le document d'introduction "Le paradoxe du point aveugle"). 11 sont téléchargées et dans ce dossier (3 en libre accès + 8 récupérées via accès institutionnel). Ne restent que deux ouvrages (David &amp; Nagaraja, Kalbfleisch &amp; Prentice) qui demandent un emprunt bibliothèque plutôt qu'un téléchargement.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3050"/>
        <w:gridCol w:w="1600"/>
      </w:tblGrid>
      <w:tr>
        <w:trPr>
          <w:tblHeader/>
        </w:trPr>
        <w:tc>
          <w:tcPr>
            <w:tcW w:type="dxa" w:w="5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305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À quoi ça sert</w:t>
            </w:r>
          </w:p>
        </w:tc>
        <w:tc>
          <w:tcPr>
            <w:tcW w:type="dxa" w:w="1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 / accès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The Blind Spot Paradox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(article source, soumis IEEE ICDM 2026)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L'article à corriger — lacunes théoriques (indépendance des arbres) et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méthodologiques identifiées dans l'énoncé du sujet 39.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À lire en premier.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Fine, J.P. &amp; Gray, R.J. (1999)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 Proportional Hazards Model for the Subdistribution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of a Competing Risk. JASA, 94(446), 496–509.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Papier fondateur des risques concurrents.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Base théorique de la Question A (course tau_ARF vs tau_det).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Page, E.S. (1954)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Continuous Inspection Schemes.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Biometrika, 41(1-2), 100–115.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Papier original du test CUSUM / Page-Hinkley,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le détecteur externe du système.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Bifet, A. &amp; Gavaldà, R. (2007)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Learning from Time-Changing Data with Adaptive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Windowing. SIAM ICDM 2007, 443–448.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Papier fondateur d'ADWIN, la fenêtre glissante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utilisée par l'Adaptive Random Forest pour se réparer.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Gomes, H.M. et al. (2017)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Adaptive random forests for evolving data stream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classification. Machine Learning, 106(9-10), 1469–1495.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Papier de l'Adaptive Random Forest (ARF),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le modèle attaqué par l'énoncé.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Gama, J. et al. (2014)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 survey on concept drift adaptation.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ACM Computing Surveys, 46(4), 1–37.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Panorama général du concept drift — contexte,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à lire en 2e si besoin de repères.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Lu, J. et al. (2018)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Learning under Concept Drift: A Review.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IEEE Transactions on Knowledge and Data Engineering.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Autre revue de référence sur le concept drift.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Contexte, non critique pour la contribution.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Raab, C., Heusinger, M. &amp; Schleif, F.-M. (2020)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Reactive Soft Prototype Computing for Concept Drift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Streams. Neurocomputing, 416, 340–351.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Méthode alternative de gestion du drift.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Contexte / comparaison possible, non critique.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Montiel, J. et al. (2021)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River: machine learning for streaming data in Python.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JMLR, 22.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Documentation de la librairie River,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outil imposé pour l'implémentation.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ProteuS (2025)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 Generative Approach for Simulating Concept Drift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 Financial Markets. arXiv:2509.11844.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Le générateur synthétique financier cité dans l'énoncé —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sert à tester le système sur des ruptures de régime connues.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David, H.A. &amp; Nagaraja, H.N. (2003)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 Statistics (3e éd.), chapitre 5. Wiley.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Statistiques d'ordre SOUS DÉPENDANCE, bornes de Fréchet.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Cœur de la Question B (biais de l'hypothèse d'indépendance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sur le minimum des tau_i).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Payant — via BU
</w:t>
            </w:r>
            <w:hyperlink w:history="1" r:id="rIdbwwacnzdksk8gouqzhuk4">
              <w:r>
                <w:rPr>
                  <w:rStyle w:val="Hyperlink"/>
                </w:rPr>
                <w:t xml:space="preserve">https://onlinelibrary.wiley.com/doi/book/10.1002/0471722162</w:t>
              </w:r>
            </w:hyperlink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Hinkley, D.V. (1971)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Inference about the change-point from cumulative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sum tests. Biometrika, 58(3), 509–523.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Complète Page (1954) — c'est la moitié "Hinkley"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du test Page-Hinkley utilisé comme détecteur externe.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Kalbfleisch, J.D. &amp; Prentice, R.L. (2002)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Statistical Analysis of Failure Time Data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(2e éd.), chapitre 8. Wiley.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Référence manuel sur les risques concurrents :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estimateur d'Aalen-Johansen, non-identifiabilité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de la loi jointe des temps latents (Tsiatis, 1975).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Payant — via BU
</w:t>
            </w:r>
            <w:hyperlink w:history="1" r:id="rIdwnvz-_pug9h2ykfoepxiv">
              <w:r>
                <w:rPr>
                  <w:rStyle w:val="Hyperlink"/>
                </w:rPr>
                <w:t xml:space="preserve">https://onlinelibrary.wiley.com/doi/book/10.1002/9781118032985</w:t>
              </w:r>
            </w:hyperlink>
          </w:p>
        </w:tc>
      </w:tr>
    </w:tbl>
    <w:p>
      <w:pPr>
        <w:spacing w:before="300"/>
      </w:pPr>
      <w:r>
        <w:t xml:space="preserve"/>
      </w:r>
    </w:p>
    <w:p>
      <w:pPr>
        <w:pStyle w:val="Heading3"/>
        <w:spacing w:after="120" w:before="200"/>
      </w:pPr>
      <w:r>
        <w:t xml:space="preserve">Repère de lecture</w:t>
      </w:r>
    </w:p>
    <w:p>
      <w:pPr>
        <w:spacing w:after="80"/>
      </w:pPr>
      <w:r>
        <w:rPr>
          <w:sz w:val="19"/>
          <w:szCs w:val="19"/>
        </w:rPr>
        <w:t xml:space="preserve">Priorité 1 (à lire avant de contacter Raphaël Minato) : [0] l'article source, [1] Fine &amp; Gray (risques concurrents, Question A), [3] Bifet &amp; Gavaldà (ADWIN), [4] Gomes et al. (ARF).</w:t>
      </w:r>
    </w:p>
    <w:p>
      <w:pPr>
        <w:spacing w:after="80"/>
      </w:pPr>
      <w:r>
        <w:rPr>
          <w:sz w:val="19"/>
          <w:szCs w:val="19"/>
        </w:rPr>
        <w:t xml:space="preserve">Priorité 2 (outillage) : [8] River, [9] ProteuS.</w:t>
      </w:r>
    </w:p>
    <w:p>
      <w:r>
        <w:rPr>
          <w:sz w:val="19"/>
          <w:szCs w:val="19"/>
        </w:rPr>
        <w:t xml:space="preserve">Contexte (à survoler) : [2] Page/CUSUM, [5] Gama et al., [6] Lu et al., [7] Raab et 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lwskvpcx-u_-q7b8vc8c" Type="http://schemas.openxmlformats.org/officeDocument/2006/relationships/hyperlink" Target="https://doi.org/10.1137/1.9781611972771.42" TargetMode="External"/><Relationship Id="rIdbwwacnzdksk8gouqzhuk4" Type="http://schemas.openxmlformats.org/officeDocument/2006/relationships/hyperlink" Target="https://onlinelibrary.wiley.com/doi/book/10.1002/0471722162" TargetMode="External"/><Relationship Id="rIdwnvz-_pug9h2ykfoepxiv" Type="http://schemas.openxmlformats.org/officeDocument/2006/relationships/hyperlink" Target="https://onlinelibrary.wiley.com/doi/book/10.1002/9781118032985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2026-09-03T13:43:59.162Z</dcterms:created>
  <dcterms:modified xsi:type="dcterms:W3CDTF">2026-09-03T13:43:59.165Z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