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rPr>
          <w:b/>
          <w:bCs/>
        </w:rPr>
        <w:t xml:space="preserve">Bibliographie — Sujet 39</w:t>
      </w:r>
    </w:p>
    <w:p>
      <w:pPr>
        <w:pStyle w:val="Heading2"/>
        <w:spacing w:after="200"/>
      </w:pPr>
      <w:r>
        <w:t xml:space="preserve">« Le paradoxe du point aveugle » (Blind Spot Paradox)</w:t>
      </w:r>
    </w:p>
    <w:p>
      <w:pPr>
        <w:spacing w:after="300"/>
      </w:pPr>
      <w:r>
        <w:rPr>
          <w:i/>
          <w:iCs/>
          <w:color w:val="555555"/>
          <w:sz w:val="19"/>
          <w:szCs w:val="19"/>
        </w:rPr>
        <w:t xml:space="preserve">Filière Recherche · 3ème année · Groupe : Alexandre Boyer, Melaine Gouillou, Salomé Fonvielle, Ulysse Petit-Tichanné</w:t>
      </w:r>
    </w:p>
    <w:p>
      <w:pPr>
        <w:spacing w:after="300"/>
      </w:pPr>
      <w:r>
        <w:rPr>
          <w:sz w:val="19"/>
          <w:szCs w:val="19"/>
        </w:rPr>
        <w:t xml:space="preserve">16 références (10 extraites du sujet officiel, 3 trouvées dans le document d'introduction, 3 ajoutées suite au document détaillé de Minato — Moreno-Torres et al., Domingos &amp; Hulten, Aalen &amp; Johansen). 13 sont téléchargées et dans ce dossier. Restent 2 livres (David &amp; Nagaraja, Kalbfleisch &amp; Prentice, emprunt bibliothèque) et 1 article payant sans version libre trouvée (Moreno-Torres et al., via Elsevier) — à récupérer via le proxy de la bibliothèque CentraleSupélec.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3050"/>
        <w:gridCol w:w="1600"/>
      </w:tblGrid>
      <w:tr>
        <w:trPr>
          <w:tblHeader/>
        </w:trPr>
        <w:tc>
          <w:tcPr>
            <w:tcW w:type="dxa" w:w="5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305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À quoi ça sert</w:t>
            </w:r>
          </w:p>
        </w:tc>
        <w:tc>
          <w:tcPr>
            <w:tcW w:type="dxa" w:w="16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Statut / accès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The Blind Spot Paradox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(article source, soumis IEEE ICDM 2026)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L'article à corriger — lacunes théoriques (indépendance des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arbres) et méthodologiques identifiées dans l'énoncé du sujet 39.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À lire en premier.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B7A3C"/>
                <w:sz w:val="19"/>
                <w:szCs w:val="19"/>
              </w:rPr>
              <w:t xml:space="preserve">✓ Téléchargé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Fine, J.P. &amp; Gray, R.J. (1999)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A Proportional Hazards Model for the Subdistribution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of a Competing Risk. JASA, 94(446), 496–509.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Papier fondateur des risques concurrents.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Base théorique de la Question A (course tau_ARF vs tau_det).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B7A3C"/>
                <w:sz w:val="19"/>
                <w:szCs w:val="19"/>
              </w:rPr>
              <w:t xml:space="preserve">✓ Téléchargé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Page, E.S. (1954)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Continuous Inspection Schemes.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Biometrika, 41(1-2), 100–115.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Papier original du test CUSUM / Page-Hinkley,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le détecteur externe du système.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B7A3C"/>
                <w:sz w:val="19"/>
                <w:szCs w:val="19"/>
              </w:rPr>
              <w:t xml:space="preserve">✓ Téléchargé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Bifet, A. &amp; Gavaldà, R. (2007)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Learning from Time-Changing Data with Adaptive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Windowing. SIAM ICDM 2007, 443–448.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Papier fondateur d'ADWIN, la fenêtre glissante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utilisée par l'Adaptive Random Forest pour se réparer.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B7A3C"/>
                <w:sz w:val="19"/>
                <w:szCs w:val="19"/>
              </w:rPr>
              <w:t xml:space="preserve">✓ Téléchargé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Gomes, H.M. et al. (2017)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Adaptive random forests for evolving data stream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classification. Machine Learning, 106(9-10), 1469–1495.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Papier de l'Adaptive Random Forest (ARF),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le modèle attaqué par l'énoncé.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B7A3C"/>
                <w:sz w:val="19"/>
                <w:szCs w:val="19"/>
              </w:rPr>
              <w:t xml:space="preserve">✓ Téléchargé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Gama, J. et al. (2014)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A survey on concept drift adaptation.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ACM Computing Surveys, 46(4), 1–37.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Panorama général du concept drift — contexte,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à lire en 2e si besoin de repères.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B7A3C"/>
                <w:sz w:val="19"/>
                <w:szCs w:val="19"/>
              </w:rPr>
              <w:t xml:space="preserve">✓ Téléchargé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Lu, J. et al. (2018)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Learning under Concept Drift: A Review.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IEEE Transactions on Knowledge and Data Engineering.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Autre revue de référence sur le concept drift.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Contexte, non critique pour la contribution.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B7A3C"/>
                <w:sz w:val="19"/>
                <w:szCs w:val="19"/>
              </w:rPr>
              <w:t xml:space="preserve">✓ Téléchargé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Raab, C., Heusinger, M. &amp; Schleif, F.-M. (2020)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Reactive Soft Prototype Computing for Concept Drift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Streams. Neurocomputing, 416, 340–351.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Méthode alternative de gestion du drift.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Contexte / comparaison possible, non critique.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B7A3C"/>
                <w:sz w:val="19"/>
                <w:szCs w:val="19"/>
              </w:rPr>
              <w:t xml:space="preserve">✓ Téléchargé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Montiel, J. et al. (2021)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River: machine learning for streaming data in Python.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JMLR, 22.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Documentation de la librairie River,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outil imposé pour l'implémentation.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B7A3C"/>
                <w:sz w:val="19"/>
                <w:szCs w:val="19"/>
              </w:rPr>
              <w:t xml:space="preserve">✓ Téléchargé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ProteuS (2025)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A Generative Approach for Simulating Concept Drift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in Financial Markets. arXiv:2509.11844.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Le générateur synthétique financier cité dans l'énoncé —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sert à tester le système sur des ruptures de régime connues.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B7A3C"/>
                <w:sz w:val="19"/>
                <w:szCs w:val="19"/>
              </w:rPr>
              <w:t xml:space="preserve">✓ Téléchargé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David, H.A. &amp; Nagaraja, H.N. (2003)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Order Statistics (3e éd.), chapitre 5. Wiley.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Statistiques d'ordre SOUS DÉPENDANCE, bornes de Fréchet.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Cœur de la Question B (biais de l'hypothèse d'indépendance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sur le minimum des tau_i).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B03A2E"/>
                <w:sz w:val="19"/>
                <w:szCs w:val="19"/>
              </w:rPr>
              <w:t xml:space="preserve">Payant — via BU
</w:t>
            </w:r>
            <w:r>
              <w:rPr>
                <w:i/>
                <w:iCs/>
                <w:sz w:val="17"/>
                <w:szCs w:val="17"/>
              </w:rPr>
              <w:t xml:space="preserve">LIVRE — emprunt bibliothèque, pas de PDF possible.
En attendant : Esary-Proschan-Walkup 1967 comble
le trou (voir #16).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Hinkley, D.V. (1971)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Inference about the change-point from cumulative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sum tests. Biometrika, 58(3), 509–523.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Complète Page (1954) — c'est la moitié "Hinkley"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du test Page-Hinkley utilisé comme détecteur externe.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B7A3C"/>
                <w:sz w:val="19"/>
                <w:szCs w:val="19"/>
              </w:rPr>
              <w:t xml:space="preserve">✓ Téléchargé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Kalbfleisch, J.D. &amp; Prentice, R.L. (2002)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Statistical Analysis of Failure Time Data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(2e éd.), chapitre 8. Wiley.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Référence manuel sur les risques concurrents :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estimateur d'Aalen-Johansen, non-identifiabilité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de la loi jointe des temps latents (Tsiatis, 1975).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B03A2E"/>
                <w:sz w:val="19"/>
                <w:szCs w:val="19"/>
              </w:rPr>
              <w:t xml:space="preserve">Payant — via BU
</w:t>
            </w:r>
            <w:r>
              <w:rPr>
                <w:i/>
                <w:iCs/>
                <w:sz w:val="17"/>
                <w:szCs w:val="17"/>
              </w:rPr>
              <w:t xml:space="preserve">LIVRE — emprunt bibliothèque, pas de PDF possible.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Moreno-Torres, J.G. et al. (2012)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A Unifying View on Dataset Shift in Classification.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Pattern Recognition, 45(1), 521–530.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Taxonomie data drift / concept drift — cité par Minato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en complément de Gama et al. pour cet aspect précis.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B03A2E"/>
                <w:sz w:val="19"/>
                <w:szCs w:val="19"/>
              </w:rPr>
              <w:t xml:space="preserve">Payant — via BU
</w:t>
            </w:r>
            <w:hyperlink w:history="1" r:id="rIdawrhbno7bbj9hjnoodpkg">
              <w:r>
                <w:rPr>
                  <w:rStyle w:val="Hyperlink"/>
                </w:rPr>
                <w:t xml:space="preserve">https://doi.org/10.1016/j.patcog.2011.06.019</w:t>
              </w:r>
            </w:hyperlink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Domingos, P. &amp; Hulten, G. (2000)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Mining High-Speed Data Streams.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KDD 2000.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Papier fondateur du Hoeffding Tree — le classifieur en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ligne sur lequel l'ARF est construite. Minato le cite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explicitement comme à étudier de près.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B7A3C"/>
                <w:sz w:val="19"/>
                <w:szCs w:val="19"/>
              </w:rPr>
              <w:t xml:space="preserve">✓ Téléchargé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Aalen, O.O. &amp; Johansen, S. (1978)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An Empirical Transition Matrix for Non-Homogeneous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Markov Chains Based on Censored Observations.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Scand. J. Statistics, 5(3), 141–150.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Papier fondateur de l'estimateur d'Aalen-Johansen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lui-même — celui qu'on utilisera concrètement pour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estimer F1(t) (Question A).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B7A3C"/>
                <w:sz w:val="19"/>
                <w:szCs w:val="19"/>
              </w:rPr>
              <w:t xml:space="preserve">✓ Téléchargé</w:t>
            </w:r>
          </w:p>
        </w:tc>
      </w:tr>
    </w:tbl>
    <w:p>
      <w:pPr>
        <w:spacing w:before="300"/>
      </w:pPr>
      <w:r>
        <w:t xml:space="preserve"/>
      </w:r>
    </w:p>
    <w:p>
      <w:pPr>
        <w:pStyle w:val="Heading3"/>
        <w:spacing w:after="120" w:before="200"/>
      </w:pPr>
      <w:r>
        <w:t xml:space="preserve">Repère de lecture</w:t>
      </w:r>
    </w:p>
    <w:p>
      <w:pPr>
        <w:spacing w:after="80"/>
      </w:pPr>
      <w:r>
        <w:rPr>
          <w:sz w:val="19"/>
          <w:szCs w:val="19"/>
        </w:rPr>
        <w:t xml:space="preserve">Priorité 1 (théorique) : [0] l'article source, [1] Fine &amp; Gray (Question A), [15] Aalen &amp; Johansen (l'estimateur utilisé), [3] Bifet &amp; Gavaldà (ADWIN), [4] Gomes et al. (ARF), [14] Domingos &amp; Hulten (Hoeffding Tree).</w:t>
      </w:r>
    </w:p>
    <w:p>
      <w:pPr>
        <w:spacing w:after="80"/>
      </w:pPr>
      <w:r>
        <w:rPr>
          <w:sz w:val="19"/>
          <w:szCs w:val="19"/>
        </w:rPr>
        <w:t xml:space="preserve">Priorité 2 (outillage) : [8] River, [9] ProteuS.</w:t>
      </w:r>
    </w:p>
    <w:p>
      <w:r>
        <w:rPr>
          <w:sz w:val="19"/>
          <w:szCs w:val="19"/>
        </w:rPr>
        <w:t xml:space="preserve">Contexte (à survoler) : [2] Page/CUSUM, [5] Gama et al., [6] Lu et al., [7] Raab et al., [13] Moreno-Torres et 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wrhbno7bbj9hjnoodpkg" Type="http://schemas.openxmlformats.org/officeDocument/2006/relationships/hyperlink" Target="https://doi.org/10.1016/j.patcog.2011.06.019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2026-09-05T19:30:53.409Z</dcterms:created>
  <dcterms:modified xsi:type="dcterms:W3CDTF">2026-09-05T19:30:53.413Z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