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DSAR Case Study</w:t>
      </w:r>
    </w:p>
    <w:p/>
    <w:p>
      <w:r>
        <w:t>## Scenario</w:t>
      </w:r>
    </w:p>
    <w:p>
      <w:r>
        <w:t>A user submits a DSAR requesting all data held by the company.</w:t>
      </w:r>
    </w:p>
    <w:p/>
    <w:p>
      <w:r>
        <w:t>## Actions Taken</w:t>
      </w:r>
    </w:p>
    <w:p>
      <w:r>
        <w:t>1. Identity verified</w:t>
      </w:r>
    </w:p>
    <w:p>
      <w:r>
        <w:t>2. Data collected from systems</w:t>
      </w:r>
    </w:p>
    <w:p>
      <w:r>
        <w:t>3. Information organized into report</w:t>
      </w:r>
    </w:p>
    <w:p>
      <w:r>
        <w:t>4. Response provided within the legal timeframe</w:t>
      </w:r>
    </w:p>
    <w:p/>
    <w:p>
      <w:r>
        <w:t>## Outcome</w:t>
      </w:r>
    </w:p>
    <w:p>
      <w:r>
        <w:t>The DSAR was successfully completed and archived.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