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DSAR Workflow Document</w:t>
      </w:r>
    </w:p>
    <w:p/>
    <w:p>
      <w:r>
        <w:t>## Overview</w:t>
      </w:r>
    </w:p>
    <w:p>
      <w:r>
        <w:t>Description of the Data Subject Access Request (DSAR) workflow used by compliance teams.</w:t>
      </w:r>
    </w:p>
    <w:p/>
    <w:p>
      <w:r>
        <w:t>## DSAR Workflow Steps</w:t>
      </w:r>
    </w:p>
    <w:p>
      <w:r>
        <w:t>1. Receive the request</w:t>
      </w:r>
    </w:p>
    <w:p>
      <w:r>
        <w:t>2. Verify identity</w:t>
      </w:r>
    </w:p>
    <w:p>
      <w:r>
        <w:t>3. Locate and collect data</w:t>
      </w:r>
    </w:p>
    <w:p>
      <w:r>
        <w:t>4. Classify and review</w:t>
      </w:r>
    </w:p>
    <w:p>
      <w:r>
        <w:t>5. Prepare response</w:t>
      </w:r>
    </w:p>
    <w:p>
      <w:r>
        <w:t>6. Send response within 30 days</w:t>
      </w:r>
    </w:p>
    <w:p>
      <w:r>
        <w:t>7. Archive evidence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