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DRAFT. A Blueprint for Domain-Specific Best Practices in Fisheries Data Stewardship</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research, management, and conservation increasingly generate vast and diverse data crucial for timely decision-making. Yet these data remain largely fragmented across jurisdictions, disciplines, and outdated infrastructure, limiting their use in responsive management.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and demonstrate their application through a real-world case study. We provide practical guidance for those transitioning into these essential stewardship roles, including domain-specific tools, templates, and examples from salmon research and management. We argue that effective salmon management depends on formally establishing data stewardship as a dedicated, institutionally supported professional role. These practices integrate both sociocultural and technical approaches to ensure data meet modern open science principles and respect Indigenous Data Sovereignty. Through a case study of a historical sockeye salmon productivity analysis spanning Pacific Coast jurisdictions, we highlight how clearly defined data stewardship practices enhance data reproducibility, integration, and management efficacy. With a foundation of shared practices, data stewards will enable faster, more transparent decision-making, support development of machine-actionable datasets with high-quality metadata and consistent semantics that enable automated analysis, and expand the use of cross-jurisdictional datasets—ultimately strengthening the management and conservation of salmon populations and the ecosystems they inhabit, and, by extension, other data-rich fisheries data domains.</w:t>
      </w:r>
    </w:p>
    <w:bookmarkEnd w:id="20"/>
    <w:bookmarkStart w:id="24" w:name="the-data-stewardship-challenge"/>
    <w:p>
      <w:pPr>
        <w:pStyle w:val="Heading2"/>
      </w:pPr>
      <w:r>
        <w:t xml:space="preserve">The Data Stewardship Challenge</w:t>
      </w:r>
    </w:p>
    <w:p>
      <w:pPr>
        <w:pStyle w:val="FirstParagraph"/>
      </w:pPr>
      <w:r>
        <w:t xml:space="preserve">Integrated, timely, and high-quality data are essential for effective fisheries research, management, and conservation. Such data underpin robust stock assessments, inform adaptive management strategies, enable rapid responses to emerging threats, and support transparent decision-making. Yet across the fisheries domain, biologists face persistent challenges in achieving these goals. Data on fish populations, health, and environmental conditions are often fragmented, inconsistently measured, and incomplete across time, space, and life-history stages</w:t>
      </w:r>
      <w:r>
        <w:t xml:space="preserve"> </w:t>
      </w:r>
      <w:r>
        <w:t xml:space="preserve">(NOAA Data Governance Committee 2024)</w:t>
      </w:r>
      <w:r>
        <w:t xml:space="preserve">. These issues limit the utility of these data for research and management.</w:t>
      </w:r>
    </w:p>
    <w:bookmarkStart w:id="21" w:name="cross-jurisdictional-data-fragmentation"/>
    <w:p>
      <w:pPr>
        <w:pStyle w:val="Heading3"/>
      </w:pPr>
      <w:r>
        <w:t xml:space="preserve">Cross-Jurisdictional Data Fragmentation</w:t>
      </w:r>
    </w:p>
    <w:p>
      <w:pPr>
        <w:pStyle w:val="FirstParagraph"/>
      </w:pPr>
      <w:r>
        <w:t xml:space="preserve">The challenges are especially pronounced in salmon science, where data must be integrated across multiple ecological regions and jurisdictional boundaries</w:t>
      </w:r>
      <w:r>
        <w:t xml:space="preserve"> </w:t>
      </w:r>
      <w:r>
        <w:t xml:space="preserve">(Groot and Margolis 1991)</w:t>
      </w:r>
      <w:r>
        <w:t xml:space="preserve">. Salmon biologists routinely collect information managed by diverse agencies and institutions, often in isolation and without a focus on interoperability. While localized successes in data coordination exist—particularly within regional fisheries management offices and treaty commissions—salmon data integrated across agencies for each phase of the salmon life cycle is uncommon and costly for most programs</w:t>
      </w:r>
      <w:r>
        <w:t xml:space="preserve"> </w:t>
      </w:r>
      <w:r>
        <w:t xml:space="preserve">(Marmorek et al. 2011; Inman et al. 2021; Diack et al. 2024)</w:t>
      </w:r>
      <w:r>
        <w:t xml:space="preserve">. Most salmon datasets remain confined within institutional silos, often undocumented, stored in outdated systems, or formatted according to internal standards that are incompatible with broader integration efforts. Even within organizations, data can be siloed by data type or program with freshwater data going in one data system while estuary, open-ocean, and commercial fishery data each housed in separate data systems with limited ability to easily re-connect the data through shared identifiers.</w:t>
      </w:r>
    </w:p>
    <w:p>
      <w:pPr>
        <w:pStyle w:val="BodyText"/>
      </w:pPr>
      <w:r>
        <w:t xml:space="preserve">This fragmentation is compounded by the number of disciplines and organizations involved. Geneticists, oceanographers, freshwater ecologists, stock assessment biologists, and fisheries managers all contribute data using their own field-specific conventions and workflows. Meanwhile, data is distributed across federal, state, provincial, tribal, and academic institutions—each with its own mandates, technologies, and metadata requirements. Many salmon data-holding organizations rely on aging infrastructure or opaque, undocumented standards that lag behind modern open-science practices. This tangle of disciplinary and institutional fragmentation slows integration, hinders reproducibility, and delays analyses that could otherwise inform time-sensitive management decisions, conservation actions, or restoration plans. When critical datasets are hard to find, access, or interpret, biologists and analysts lose valuable time trying to reconstruct or harmonize them, reducing transparency, increasing the risk of errors, and delaying urgent conservation or management responses.</w:t>
      </w:r>
    </w:p>
    <w:bookmarkEnd w:id="21"/>
    <w:bookmarkStart w:id="22" w:name="the-need-for-coordinated-stewardship"/>
    <w:p>
      <w:pPr>
        <w:pStyle w:val="Heading3"/>
      </w:pPr>
      <w:r>
        <w:t xml:space="preserve">The Need for Coordinated Stewardship</w:t>
      </w:r>
    </w:p>
    <w:p>
      <w:pPr>
        <w:pStyle w:val="FirstParagraph"/>
      </w:pPr>
      <w:r>
        <w:t xml:space="preserve">The growing complexity of fisheries management, combined with escalating environmental uncertainties due to climate change, demands rapid, integrated, and robust data analyses</w:t>
      </w:r>
      <w:r>
        <w:t xml:space="preserve"> </w:t>
      </w:r>
      <w:r>
        <w:t xml:space="preserve">(Bull et al. 2022, ward_surveyjoin_2025)</w:t>
      </w:r>
      <w:r>
        <w:t xml:space="preserve">. The mismatch between fragmented data systems and fixed administrative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institutional support, or access to community-agreed best practices. Tasks such as documenting methods, aligning terminology, formatting for data sharing, and publishing data are typically performed off the side of a biologist’s desk. A lack of institutional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Both researchers and managers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Without clear support and guidance, well-intentioned practitioners are left with ad hoc approaches that limit reuse and interoperability. This gap can only be bridged by equipping both data producers and stewards with tools, support, and institutional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actionable practices, examples, and workflows to help salmon biologists improve the usability, reproducibility, and long-term impact of their data. We develop seven best practices for salmon data stewardship and demonstrate their application through a real-world case study of cross-jurisdictional sockeye productivity analysis. Our case study shows how cross-jurisdictional alignment of terms and reproducible pipelines can enable faster status assessment updates and more responsive management decisions. Our goal is to support salmon biologists and the broader research and management community to effectively steward salmon data. To keep this broadly useful, we emphasize patterns—lifecycle planning, metadata governance, vocabulary alignment, reproducible publishing, and role clarity—that any taxa-centric community can adopt, substituting their own standards and tools. We also map the seven practices to widely used data-lifecycle models to make adoption straightforward outside salmon contexts.</w:t>
      </w:r>
    </w:p>
    <w:p>
      <w:pPr>
        <w:pStyle w:val="BodyText"/>
      </w:pPr>
      <w:r>
        <w:t xml:space="preserve">A coordinated approach to stewarding salmon data should follow established open science standards and adhere explicitly to FAIR principles, tailored specifically for salmon research and management. Our practices build upon existing standards and vocabularies including Darwin Core, OBIS, schema.org, and OBO Foundry ontologies, ensuring compatibility with broader biodiversity informatics infrastructure rather than reinventing foundational frameworks. Achieving meaningful interoperability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salmon-specific terms and methods, ensuring data remains meaningful and usable across contexts. Salmon data stewards can improve conservation outcomes for salmon by coordinating across boundaries to develop a shared foundation of data stewardship practices. To address these foundational challenges, we must establish clear data stewardship roles and practices that span the entire data lifecycle—from collection and documentation through integration and long-term preservation.</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Within fisheries science, stewardship involves ensuring data quality, compliance with agreed-upon standards, and the establishment of clear governance to guide data collection, documentation, integration, and preservation. However, salmon data stewardship goes beyond mere technical data management; it involves actively facilitating collaboration, communication, and consensus-building among data producers and users across multiple institutions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 use for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and community managers, convening diverse stakeholders across agencies, First Nations, Tribes, and academic institutions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Institutional advocacy</w:t>
            </w:r>
            <w:r>
              <w:t xml:space="preserve">: Championing the institutional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For example, stewards can document consent constraints in metadata fields and enforce access restrictions via repository user roles, ensuring that Indigenous data sovereignty is respected while maintaining data discoverability and appropriate reuse.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60ebd145321232d0cc1201b616f5c51519bfa55"/>
    <w:p>
      <w:pPr>
        <w:pStyle w:val="Heading2"/>
      </w:pPr>
      <w:r>
        <w:t xml:space="preserve">Updating Pacific-wide Sockeye Productivity: A Case Study for What Agencies Could Do Now</w:t>
      </w:r>
    </w:p>
    <w:p>
      <w:pPr>
        <w:pStyle w:val="FirstParagraph"/>
      </w:pPr>
      <w:r>
        <w:t xml:space="preserve">This case study revisits a Pacific Coast-wide sockeye productivity dataset assembled from diverse agency sources by academic researchers</w:t>
      </w:r>
      <w:r>
        <w:t xml:space="preserve"> </w:t>
      </w:r>
      <w:r>
        <w:t xml:space="preserve">(Peterman and Dorner 2012)</w:t>
      </w:r>
      <w:r>
        <w:t xml:space="preserve">. We reflect not on the significant work the research team accomplished, but rather on the preventable institutional and technical barriers that impeded their work—and continue to burden data updates and reuse efforts today. Their study examined productivity trends across 64 sockeye salmon stocks spanning Washington, British Columbia (B.C.), and Alaska. However, attempting to replicate or build upon this analysis today is an arduous, time-consuming, and error-prone endeavour due to fragmented data sources, inconsistent formats, and lack of standardized practices among the key institutions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2</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institution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institutional data repositories or catalogues that make data discoverable using PIDs and provide programmatic access to data possible using Application Programming Interfaces.</w:t>
      </w:r>
    </w:p>
    <w:bookmarkEnd w:id="30"/>
    <w:bookmarkStart w:id="31"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responisibility matrix such as</w:t>
      </w:r>
      <w:r>
        <w:t xml:space="preserve"> </w:t>
      </w:r>
      <w:r>
        <w:t xml:space="preserve">“responsible, approver, consulted, informed”</w:t>
      </w:r>
      <w:r>
        <w:t xml:space="preserve"> </w:t>
      </w:r>
      <w:r>
        <w:t xml:space="preserve">(RACI) to clarify govermamce, assign maintenance responsibility, and ensure continuity across staff turnover and institutional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analytical contribution of the Peterman productivity dataset remains significant, the barriers encountered in compiling, interpreting, and maintaining the data are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2</w:t>
        </w:r>
      </w:hyperlink>
      <w:r>
        <w:t xml:space="preserve">, agencies and researchers can transform legacy datasets into living resources, enabling reproducibility,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bookmarkEnd w:id="31"/>
    <w:bookmarkStart w:id="33" w:name="X5d00c596c372248200562eaae5a15da4aacb9a2"/>
    <w:p>
      <w:pPr>
        <w:pStyle w:val="Heading3"/>
      </w:pPr>
      <w:r>
        <w:t xml:space="preserve">How our seven practices align to data lifecycle models</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1</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institutions.</w:t>
      </w:r>
    </w:p>
    <w:tbl>
      <w:tblPr>
        <w:tblStyle w:val="Table"/>
        <w:tblW w:type="pct" w:w="5000"/>
        <w:tblLayout w:type="fixed"/>
        <w:tblLook w:firstRow="0" w:lastRow="0" w:firstColumn="0" w:lastColumn="0" w:noHBand="0" w:noVBand="0" w:val="0000"/>
      </w:tblPr>
      <w:tblGrid>
        <w:gridCol w:w="7920"/>
      </w:tblGrid>
      <w:tr>
        <w:tc>
          <w:tcPr/>
          <w:bookmarkStart w:id="32" w:name="tbl-lifecycle"/>
          <w:p>
            <w:pPr>
              <w:jc w:val="center"/>
            </w:pPr>
            <w:pPr>
              <w:jc w:val="left"/>
              <w:spacing w:before="200"/>
              <w:pStyle w:val="ImageCaption"/>
            </w:pPr>
            <w:r>
              <w:t xml:space="preserve">Table 1: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2"/>
          <w:p/>
        </w:tc>
      </w:tr>
    </w:tbl>
    <w:bookmarkEnd w:id="33"/>
    <w:bookmarkStart w:id="35"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1</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institutional capability rather than a project-specific task, requiring dedicated resources, trained personnel, and systematic processes that operate continuously across all data activities.</w:t>
      </w:r>
    </w:p>
    <w:tbl>
      <w:tblPr>
        <w:tblStyle w:val="Table"/>
        <w:tblW w:type="pct" w:w="5000"/>
        <w:tblLayout w:type="fixed"/>
        <w:tblLook w:firstRow="0" w:lastRow="0" w:firstColumn="0" w:lastColumn="0" w:noHBand="0" w:noVBand="0" w:val="0000"/>
      </w:tblPr>
      <w:tblGrid>
        <w:gridCol w:w="7920"/>
      </w:tblGrid>
      <w:tr>
        <w:tc>
          <w:tcPr/>
          <w:bookmarkStart w:id="34" w:name="tbl-bestpractices"/>
          <w:p>
            <w:pPr>
              <w:jc w:val="center"/>
            </w:pPr>
            <w:pPr>
              <w:jc w:val="left"/>
              <w:spacing w:before="200"/>
              <w:pStyle w:val="ImageCaption"/>
            </w:pPr>
            <w:r>
              <w:t xml:space="preserve">Table 2: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Practical Applications</w:t>
                  </w:r>
                </w:p>
              </w:tc>
            </w:tr>
            <w:tr>
              <w:tc>
                <w:tcPr/>
                <w:p>
                  <w:pPr>
                    <w:pStyle w:val="Compact"/>
                    <w:jc w:val="left"/>
                    <w:jc w:val="center"/>
                  </w:pPr>
                  <w:r>
                    <w:rPr>
                      <w:b/>
                      <w:bCs/>
                    </w:rPr>
                    <w:t xml:space="preserve">1. Make Data Governance Explicit to Support Trust and Reuse.</w:t>
                  </w:r>
                  <w:r>
                    <w:t xml:space="preserve"> </w:t>
                  </w:r>
                  <w:r>
                    <w:t xml:space="preserve">Establishing clear governance structures ensures quality, accountability, and compliance with FAIR and CARE principles. It enables trust and long-term stewardship across multi-organizational projects.</w:t>
                  </w:r>
                </w:p>
              </w:tc>
              <w:tc>
                <w:tcPr/>
                <w:p>
                  <w:pPr>
                    <w:jc w:val="left"/>
                    <w:jc w:val="center"/>
                  </w:pPr>
                  <w:r>
                    <w:t xml:space="preserve">- Document roles and responsibilities using a Data Product Governance Charter and structured frameworks (e.g., DACI or RACI).</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reduces costs and improves long-term interoperability and sustainability.</w:t>
                  </w:r>
                </w:p>
              </w:tc>
              <w:tc>
                <w:tcPr/>
                <w:p>
                  <w:pPr>
                    <w:jc w:val="left"/>
                    <w:jc w:val="center"/>
                  </w:pPr>
                  <w:r>
                    <w:t xml:space="preserve">- Use domain-specific repositories like OBIS or GBIF.</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PIDs.</w:t>
                  </w:r>
                  <w:r>
                    <w:t xml:space="preserve"> </w:t>
                  </w:r>
                  <w:r>
                    <w:t xml:space="preserve">Persistent identifiers (PIDs) connect data with researchers, institutions, and outputs—supporting data citation, reuse, and automated attribution.</w:t>
                  </w:r>
                </w:p>
              </w:tc>
              <w:tc>
                <w:tcPr/>
                <w:p>
                  <w:pPr>
                    <w:jc w:val="left"/>
                    <w:jc w:val="center"/>
                  </w:pPr>
                  <w:r>
                    <w:t xml:space="preserve">- Encourage use of ORCID iDs for researchers.</w:t>
                  </w:r>
                </w:p>
                <w:p>
                  <w:pPr>
                    <w:jc w:val="left"/>
                    <w:jc w:val="center"/>
                  </w:pPr>
                  <w:r>
                    <w:t xml:space="preserve">- Use ROR IDs for institutions.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Ontologies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4"/>
          <w:p/>
        </w:tc>
      </w:tr>
    </w:tbl>
    <w:bookmarkEnd w:id="35"/>
    <w:bookmarkEnd w:id="36"/>
    <w:bookmarkStart w:id="81"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w:t>
      </w:r>
      <w:r>
        <w:t xml:space="preserve"> </w:t>
      </w:r>
      <w:r>
        <w:t xml:space="preserve">(Marmorek et al. 2011)</w:t>
      </w:r>
      <w:r>
        <w:t xml:space="preserve">, these data are often incomplete, inconsistently collected, and fragmented across institutions and jurisdictions. Integrating across such diverse sources can be done, but requires effort that is often not accounted for in smaller-scale studies. This fragmentation is a missed opportunity to deepen our understanding of the drivers of change across salmon life stages and regions, and limits the effectiveness of management decisions, particularly in the face of climate change and biodiversity loss.</w:t>
      </w:r>
    </w:p>
    <w:p>
      <w:pPr>
        <w:pStyle w:val="BodyText"/>
      </w:pPr>
      <w:r>
        <w:t xml:space="preserve">But this limitation also reveals an opportunity.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transform the role of salmon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producers—such as documenting their datasets more thoroughly, storing data in accessible formats, or using persistent identifiers—substantial time and resources could have been saved. The case offers a clear and cautionary tale, as well as a hopeful roadmap.</w:t>
      </w:r>
    </w:p>
    <w:p>
      <w:pPr>
        <w:pStyle w:val="BodyText"/>
      </w:pPr>
      <w:r>
        <w:t xml:space="preserve">The emergence of the data stewardship role</w:t>
      </w:r>
      <w:r>
        <w:t xml:space="preserve"> </w:t>
      </w:r>
      <w:r>
        <w:t xml:space="preserve">(Plotkin 2014)</w:t>
      </w:r>
      <w:r>
        <w:t xml:space="preserve"> </w:t>
      </w:r>
      <w:r>
        <w:t xml:space="preserve">represents one of the most critical institutional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institutional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institutional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labs, and community groups—can easily access and contribute to well-documented, versioned, and machine-readable datasets. In this future, field biologists, Indigenous guardians, modelers, and policymakers interact with a living knowledge system—one that is flexible, easy to implement, and rooted in principles of FAIRness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w:t>
      </w:r>
      <w:r>
        <w:t xml:space="preserve"> </w:t>
      </w:r>
      <w:r>
        <w:t xml:space="preserve">“technical debt”</w:t>
      </w:r>
      <w:r>
        <w:t xml:space="preserve"> </w:t>
      </w:r>
      <w:r>
        <w:t xml:space="preserve">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0" w:name="references"/>
    <w:p>
      <w:pPr>
        <w:pStyle w:val="Heading3"/>
      </w:pPr>
      <w:r>
        <w:t xml:space="preserve">References</w:t>
      </w:r>
    </w:p>
    <w:bookmarkStart w:id="79"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1">
        <w:r>
          <w:rPr>
            <w:rStyle w:val="Hyperlink"/>
          </w:rPr>
          <w:t xml:space="preserve">https://doi.org/10.5334/dsj-2019-031</w:t>
        </w:r>
      </w:hyperlink>
      <w:r>
        <w:t xml:space="preserve">.</w:t>
      </w:r>
    </w:p>
    <w:bookmarkEnd w:id="42"/>
    <w:bookmarkStart w:id="44"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3">
        <w:r>
          <w:rPr>
            <w:rStyle w:val="Hyperlink"/>
          </w:rPr>
          <w:t xml:space="preserve">https://doi.org/10.23849/npafcb7/x3rlpo23a</w:t>
        </w:r>
      </w:hyperlink>
      <w:r>
        <w:t xml:space="preserve">.</w:t>
      </w:r>
    </w:p>
    <w:bookmarkEnd w:id="44"/>
    <w:bookmarkStart w:id="46"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5">
        <w:r>
          <w:rPr>
            <w:rStyle w:val="Hyperlink"/>
          </w:rPr>
          <w:t xml:space="preserve">https://www.psc.org/wp-content/uploads/wpfd/preview_files/The-Sociocultural-Significance-of-Salmon-to-Tribes-and-First-Nations(5da9942da9fb4fe0d77eb32bd6165e43).pdf</w:t>
        </w:r>
      </w:hyperlink>
      <w:r>
        <w:t xml:space="preserve">.</w:t>
      </w:r>
    </w:p>
    <w:bookmarkEnd w:id="46"/>
    <w:bookmarkStart w:id="48"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47">
        <w:r>
          <w:rPr>
            <w:rStyle w:val="Hyperlink"/>
          </w:rPr>
          <w:t xml:space="preserve">https://books.google.ca/books?id=I_S0xCME0CYC</w:t>
        </w:r>
      </w:hyperlink>
      <w:r>
        <w:t xml:space="preserve">.</w:t>
      </w:r>
    </w:p>
    <w:bookmarkEnd w:id="48"/>
    <w:bookmarkStart w:id="50"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49">
        <w:r>
          <w:rPr>
            <w:rStyle w:val="Hyperlink"/>
          </w:rPr>
          <w:t xml:space="preserve">https://doi.org/10.5751/ES-12117-260226</w:t>
        </w:r>
      </w:hyperlink>
      <w:r>
        <w:t xml:space="preserve">.</w:t>
      </w:r>
    </w:p>
    <w:bookmarkEnd w:id="50"/>
    <w:bookmarkStart w:id="52"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1">
        <w:r>
          <w:rPr>
            <w:rStyle w:val="Hyperlink"/>
          </w:rPr>
          <w:t xml:space="preserve">https://doi.org/10.1038/s41559-023-02161-2</w:t>
        </w:r>
      </w:hyperlink>
      <w:r>
        <w:t xml:space="preserve">.</w:t>
      </w:r>
    </w:p>
    <w:bookmarkEnd w:id="52"/>
    <w:bookmarkStart w:id="54"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3">
        <w:r>
          <w:rPr>
            <w:rStyle w:val="Hyperlink"/>
          </w:rPr>
          <w:t xml:space="preserve">https://doi.org/10.23849/npafcb7/6a4ddpde4</w:t>
        </w:r>
      </w:hyperlink>
      <w:r>
        <w:t xml:space="preserve">.</w:t>
      </w:r>
    </w:p>
    <w:bookmarkEnd w:id="54"/>
    <w:bookmarkStart w:id="56"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5">
        <w:r>
          <w:rPr>
            <w:rStyle w:val="Hyperlink"/>
          </w:rPr>
          <w:t xml:space="preserve">https://doi.org/10.1111/j.1442-9993.2011.02351.x</w:t>
        </w:r>
      </w:hyperlink>
      <w:r>
        <w:t xml:space="preserve">.</w:t>
      </w:r>
    </w:p>
    <w:bookmarkEnd w:id="56"/>
    <w:bookmarkStart w:id="58"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57">
        <w:r>
          <w:rPr>
            <w:rStyle w:val="Hyperlink"/>
          </w:rPr>
          <w:t xml:space="preserve">http://www.cohencommission.ca/</w:t>
        </w:r>
      </w:hyperlink>
      <w:r>
        <w:t xml:space="preserve">.</w:t>
      </w:r>
    </w:p>
    <w:bookmarkEnd w:id="58"/>
    <w:bookmarkStart w:id="60"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59">
        <w:r>
          <w:rPr>
            <w:rStyle w:val="Hyperlink"/>
          </w:rPr>
          <w:t xml:space="preserve">https://doi.org/10.17226/12017</w:t>
        </w:r>
      </w:hyperlink>
      <w:r>
        <w:t xml:space="preserve">.</w:t>
      </w:r>
    </w:p>
    <w:bookmarkEnd w:id="60"/>
    <w:bookmarkStart w:id="62"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1">
        <w:r>
          <w:rPr>
            <w:rStyle w:val="Hyperlink"/>
          </w:rPr>
          <w:t xml:space="preserve">https://www.noaa.gov/sites/default/files/2025-03/NAO_212-15B_-_Data_Management_Handbook.pdf</w:t>
        </w:r>
      </w:hyperlink>
      <w:r>
        <w:t xml:space="preserve">.</w:t>
      </w:r>
    </w:p>
    <w:bookmarkEnd w:id="62"/>
    <w:bookmarkStart w:id="64"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63">
        <w:r>
          <w:rPr>
            <w:rStyle w:val="Hyperlink"/>
          </w:rPr>
          <w:t xml:space="preserve">https://doi.org/10.5334/dsj-2018-015</w:t>
        </w:r>
      </w:hyperlink>
      <w:r>
        <w:t xml:space="preserve">.</w:t>
      </w:r>
    </w:p>
    <w:bookmarkEnd w:id="64"/>
    <w:bookmarkStart w:id="66"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65">
        <w:r>
          <w:rPr>
            <w:rStyle w:val="Hyperlink"/>
          </w:rPr>
          <w:t xml:space="preserve">https://doi.org/10.1139/f2012-063</w:t>
        </w:r>
      </w:hyperlink>
      <w:r>
        <w:t xml:space="preserve">.</w:t>
      </w:r>
    </w:p>
    <w:bookmarkEnd w:id="66"/>
    <w:bookmarkStart w:id="68" w:name="ref-plotkin2014"/>
    <w:p>
      <w:pPr>
        <w:pStyle w:val="Bibliography"/>
      </w:pPr>
      <w:r>
        <w:t xml:space="preserve">Plotkin, David. 2014.</w:t>
      </w:r>
      <w:r>
        <w:t xml:space="preserve"> </w:t>
      </w:r>
      <w:r>
        <w:rPr>
          <w:i/>
          <w:iCs/>
        </w:rPr>
        <w:t xml:space="preserve">Data Stewardship</w:t>
      </w:r>
      <w:r>
        <w:t xml:space="preserve">. Elsevier.</w:t>
      </w:r>
      <w:r>
        <w:t xml:space="preserve"> </w:t>
      </w:r>
      <w:hyperlink r:id="rId67">
        <w:r>
          <w:rPr>
            <w:rStyle w:val="Hyperlink"/>
          </w:rPr>
          <w:t xml:space="preserve">https://doi.org/10.1016/c2012-0-07057-3</w:t>
        </w:r>
      </w:hyperlink>
      <w:r>
        <w:t xml:space="preserve">.</w:t>
      </w:r>
    </w:p>
    <w:bookmarkEnd w:id="68"/>
    <w:bookmarkStart w:id="70"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69">
        <w:r>
          <w:rPr>
            <w:rStyle w:val="Hyperlink"/>
          </w:rPr>
          <w:t xml:space="preserve">https://doi.org/10.1139/facets-2020-0008</w:t>
        </w:r>
      </w:hyperlink>
      <w:r>
        <w:t xml:space="preserve">.</w:t>
      </w:r>
    </w:p>
    <w:bookmarkEnd w:id="70"/>
    <w:bookmarkStart w:id="72"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1">
        <w:r>
          <w:rPr>
            <w:rStyle w:val="Hyperlink"/>
          </w:rPr>
          <w:t xml:space="preserve">https://doi.org/10.1007/s00267-014-0258-2</w:t>
        </w:r>
      </w:hyperlink>
      <w:r>
        <w:t xml:space="preserve">.</w:t>
      </w:r>
    </w:p>
    <w:bookmarkEnd w:id="72"/>
    <w:bookmarkStart w:id="74"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73">
        <w:r>
          <w:rPr>
            <w:rStyle w:val="Hyperlink"/>
          </w:rPr>
          <w:t xml:space="preserve">https://doi.org/10.1101/2025.03.14.643022</w:t>
        </w:r>
      </w:hyperlink>
      <w:r>
        <w:t xml:space="preserve">.</w:t>
      </w:r>
    </w:p>
    <w:bookmarkEnd w:id="74"/>
    <w:bookmarkStart w:id="76"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75">
        <w:r>
          <w:rPr>
            <w:rStyle w:val="Hyperlink"/>
          </w:rPr>
          <w:t xml:space="preserve">https://doi.org/10.3390/su5020478</w:t>
        </w:r>
      </w:hyperlink>
      <w:r>
        <w:t xml:space="preserve">.</w:t>
      </w:r>
    </w:p>
    <w:bookmarkEnd w:id="76"/>
    <w:bookmarkStart w:id="78"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77">
        <w:r>
          <w:rPr>
            <w:rStyle w:val="Hyperlink"/>
          </w:rPr>
          <w:t xml:space="preserve">https://doi.org/10.1038/sdata.2016.18</w:t>
        </w:r>
      </w:hyperlink>
      <w:r>
        <w:t xml:space="preserve">.</w:t>
      </w:r>
    </w:p>
    <w:bookmarkEnd w:id="78"/>
    <w:bookmarkEnd w:id="79"/>
    <w:bookmarkEnd w:id="80"/>
    <w:bookmarkEnd w:id="81"/>
    <w:bookmarkStart w:id="82" w:name="appendices"/>
    <w:p>
      <w:pPr>
        <w:pStyle w:val="Heading1"/>
      </w:pPr>
      <w:r>
        <w:t xml:space="preserve">Appendices</w:t>
      </w:r>
    </w:p>
    <w:bookmarkEnd w:id="82"/>
    <w:bookmarkStart w:id="122" w:name="section"/>
    <w:p>
      <w:pPr>
        <w:pStyle w:val="Heading1"/>
      </w:pPr>
    </w:p>
    <w:bookmarkStart w:id="121"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88"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facilitates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87"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6"/>
        </w:numPr>
      </w:pPr>
      <w:hyperlink r:id="rId83">
        <w:r>
          <w:rPr>
            <w:rStyle w:val="Hyperlink"/>
          </w:rPr>
          <w:t xml:space="preserve">Example of a Data Management Plan from the California Department of Water Resources</w:t>
        </w:r>
      </w:hyperlink>
    </w:p>
    <w:p>
      <w:pPr>
        <w:numPr>
          <w:ilvl w:val="0"/>
          <w:numId w:val="1006"/>
        </w:numPr>
      </w:pPr>
      <w:r>
        <w:t xml:space="preserve">Data Management Plan Templates from</w:t>
      </w:r>
      <w:r>
        <w:t xml:space="preserve"> </w:t>
      </w:r>
      <w:hyperlink r:id="rId84">
        <w:r>
          <w:rPr>
            <w:rStyle w:val="Hyperlink"/>
          </w:rPr>
          <w:t xml:space="preserve">DMPTool</w:t>
        </w:r>
      </w:hyperlink>
      <w:r>
        <w:t xml:space="preserve">, and</w:t>
      </w:r>
      <w:r>
        <w:t xml:space="preserve"> </w:t>
      </w:r>
      <w:hyperlink r:id="rId61">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7"/>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85">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8"/>
        </w:numPr>
      </w:pPr>
      <w:r>
        <w:t xml:space="preserve">Pacific Salmon Commission has formed a Technical Committee on Data Sharing including both US and Canadian data contributors.</w:t>
      </w:r>
      <w:r>
        <w:t xml:space="preserve"> </w:t>
      </w:r>
      <w:hyperlink r:id="rId86">
        <w:r>
          <w:rPr>
            <w:rStyle w:val="Hyperlink"/>
          </w:rPr>
          <w:t xml:space="preserve">https://www.psc.org/membership-lists/</w:t>
        </w:r>
      </w:hyperlink>
    </w:p>
    <w:bookmarkEnd w:id="87"/>
    <w:bookmarkEnd w:id="88"/>
    <w:bookmarkStart w:id="93"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92" w:name="practical-applications-1"/>
    <w:p>
      <w:pPr>
        <w:pStyle w:val="Heading5"/>
      </w:pPr>
      <w:r>
        <w:t xml:space="preserve">Practical Applications:</w:t>
      </w:r>
    </w:p>
    <w:p>
      <w:pPr>
        <w:pStyle w:val="FirstParagraph"/>
      </w:pPr>
      <w:r>
        <w:t xml:space="preserve">2.1</w:t>
      </w:r>
      <w:r>
        <w:t xml:space="preserve"> </w:t>
      </w:r>
      <w:hyperlink r:id="rId89">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09"/>
        </w:numPr>
      </w:pPr>
      <w:r>
        <w:t xml:space="preserve">The Pacific Salmon Foundation’s</w:t>
      </w:r>
      <w:r>
        <w:t xml:space="preserve"> </w:t>
      </w:r>
      <w:hyperlink r:id="rId90">
        <w:r>
          <w:rPr>
            <w:rStyle w:val="Hyperlink"/>
          </w:rPr>
          <w:t xml:space="preserve">spawner surveys dataset on Zenodo</w:t>
        </w:r>
      </w:hyperlink>
      <w:r>
        <w:t xml:space="preserve"> </w:t>
      </w:r>
      <w:r>
        <w:t xml:space="preserve">(Carturan and Peacock 2025) received more views within weeks than a</w:t>
      </w:r>
      <w:r>
        <w:t xml:space="preserve"> </w:t>
      </w:r>
      <w:hyperlink r:id="rId91">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92"/>
    <w:bookmarkEnd w:id="93"/>
    <w:bookmarkStart w:id="99"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98" w:name="practical-applications-2"/>
    <w:p>
      <w:pPr>
        <w:pStyle w:val="Heading5"/>
      </w:pPr>
      <w:r>
        <w:t xml:space="preserve">Practical Applications:</w:t>
      </w:r>
    </w:p>
    <w:p>
      <w:pPr>
        <w:pStyle w:val="FirstParagraph"/>
      </w:pPr>
      <w:r>
        <w:t xml:space="preserve">3.1 Encourage researchers to register for an</w:t>
      </w:r>
      <w:r>
        <w:t xml:space="preserve"> </w:t>
      </w:r>
      <w:hyperlink r:id="rId94">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0"/>
        </w:numPr>
      </w:pPr>
      <w:r>
        <w:t xml:space="preserve">Several salmon data holding institutions are already</w:t>
      </w:r>
      <w:r>
        <w:t xml:space="preserve"> </w:t>
      </w:r>
      <w:hyperlink r:id="rId95">
        <w:r>
          <w:rPr>
            <w:rStyle w:val="Hyperlink"/>
          </w:rPr>
          <w:t xml:space="preserve">registered with ROR</w:t>
        </w:r>
      </w:hyperlink>
      <w:r>
        <w:t xml:space="preserve">. As a result, those organizations can track and demonstrate their scholarly impact from data publications:</w:t>
      </w:r>
      <w:r>
        <w:t xml:space="preserve"> </w:t>
      </w:r>
      <w:hyperlink r:id="rId96">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1"/>
        </w:numPr>
      </w:pPr>
      <w:r>
        <w:t xml:space="preserve">The North Pacific Anadromous FIsh Commission (NPAFC) assigns DOIs to IYS-related data packages which are served by a CKAN catalogue at</w:t>
      </w:r>
      <w:r>
        <w:t xml:space="preserve"> </w:t>
      </w:r>
      <w:hyperlink r:id="rId97">
        <w:r>
          <w:rPr>
            <w:rStyle w:val="Hyperlink"/>
          </w:rPr>
          <w:t xml:space="preserve">https://data.npafc.org</w:t>
        </w:r>
      </w:hyperlink>
      <w:r>
        <w:t xml:space="preserve">. The Commission also assigns DOIs to NPAFC Technical Reports and Bulletins.</w:t>
      </w:r>
    </w:p>
    <w:p>
      <w:pPr>
        <w:pStyle w:val="FirstParagraph"/>
      </w:pPr>
      <w:r>
        <w:t xml:space="preserve">3.4 Embed DOIs in dashboards, figures, and metadata so they persist in derivative products.</w:t>
      </w:r>
    </w:p>
    <w:bookmarkEnd w:id="98"/>
    <w:bookmarkEnd w:id="99"/>
    <w:bookmarkStart w:id="106"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05"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2"/>
        </w:numPr>
      </w:pPr>
      <w:r>
        <w:t xml:space="preserve">The Pacific Salmon Foundation’s data portal asks contributors to provide metadata in ISO 19115 or other standard formats.</w:t>
      </w:r>
      <w:r>
        <w:t xml:space="preserve"> </w:t>
      </w:r>
      <w:r>
        <w:t xml:space="preserve">marinedata.psf.ca</w:t>
      </w:r>
      <w:r>
        <w:t xml:space="preserve">, ensuring consistent metadata structure</w:t>
      </w:r>
    </w:p>
    <w:p>
      <w:pPr>
        <w:pStyle w:val="Compact"/>
        <w:numPr>
          <w:ilvl w:val="0"/>
          <w:numId w:val="1012"/>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00">
        <w:r>
          <w:rPr>
            <w:rStyle w:val="Hyperlink"/>
          </w:rPr>
          <w:t xml:space="preserve">Darwin Core Standard</w:t>
        </w:r>
      </w:hyperlink>
    </w:p>
    <w:p>
      <w:pPr>
        <w:numPr>
          <w:ilvl w:val="0"/>
          <w:numId w:val="1013"/>
        </w:numPr>
      </w:pPr>
      <w:r>
        <w:t xml:space="preserve">The Hakai Institute Juvenile Salmon Program publishes their data to OBIS using Darwin Core:</w:t>
      </w:r>
      <w:r>
        <w:t xml:space="preserve"> </w:t>
      </w:r>
      <w:hyperlink r:id="rId101">
        <w:r>
          <w:rPr>
            <w:rStyle w:val="Hyperlink"/>
          </w:rPr>
          <w:t xml:space="preserve">Hakai Institute Juvenile Salmon Program</w:t>
        </w:r>
      </w:hyperlink>
    </w:p>
    <w:p>
      <w:pPr>
        <w:numPr>
          <w:ilvl w:val="0"/>
          <w:numId w:val="1013"/>
        </w:numPr>
      </w:pPr>
      <w:r>
        <w:t xml:space="preserve">The International Year of the Salmon High Seas Expeditions data mobilization efforts [</w:t>
      </w:r>
      <w:r>
        <w:t xml:space="preserve">Johnson and Stap (2024)</w:t>
      </w:r>
      <w:r>
        <w:t xml:space="preserve">] published their data to OBIS:</w:t>
      </w:r>
      <w:r>
        <w:t xml:space="preserve"> </w:t>
      </w:r>
      <w:hyperlink r:id="rId102">
        <w:r>
          <w:rPr>
            <w:rStyle w:val="Hyperlink"/>
          </w:rPr>
          <w:t xml:space="preserve">https://www.gbif.org/dataset/search?project_id=IYS</w:t>
        </w:r>
      </w:hyperlink>
    </w:p>
    <w:p>
      <w:pPr>
        <w:pStyle w:val="FirstParagraph"/>
      </w:pPr>
      <w:r>
        <w:t xml:space="preserve">4.3 Re-use or publish data terms that are shared online using a 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03">
        <w:r>
          <w:rPr>
            <w:rStyle w:val="Hyperlink"/>
          </w:rPr>
          <w:t xml:space="preserve">Hatchery escapement reports | Washington Department of Fish &amp; Wildlife</w:t>
        </w:r>
      </w:hyperlink>
    </w:p>
    <w:p>
      <w:pPr>
        <w:numPr>
          <w:ilvl w:val="0"/>
          <w:numId w:val="1014"/>
        </w:numPr>
      </w:pPr>
      <w:r>
        <w:t xml:space="preserve">Fish Passage Counts has defined metadata that can be used across OFDW and WDFW.</w:t>
      </w:r>
      <w:r>
        <w:t xml:space="preserve"> </w:t>
      </w:r>
      <w:hyperlink r:id="rId104">
        <w:r>
          <w:rPr>
            <w:rStyle w:val="Hyperlink"/>
          </w:rPr>
          <w:t xml:space="preserve">https://www.fpc.org/111_sharedfiles/ColumbiaRiverBasinAdultFishPassageCountsMetadata.pdf</w:t>
        </w:r>
      </w:hyperlink>
    </w:p>
    <w:bookmarkEnd w:id="105"/>
    <w:bookmarkEnd w:id="106"/>
    <w:bookmarkStart w:id="110"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seamless integration with tools and applications. Ensuring accessible, persistent data storage requires more than just file hosting. Data should be structured, accessible via API, and stored in repositories that support long-term preservation.</w:t>
      </w:r>
    </w:p>
    <w:bookmarkStart w:id="109" w:name="practical-applications-4"/>
    <w:p>
      <w:pPr>
        <w:pStyle w:val="Heading5"/>
      </w:pPr>
      <w:r>
        <w:t xml:space="preserve">Practical Applications:</w:t>
      </w:r>
    </w:p>
    <w:p>
      <w:pPr>
        <w:pStyle w:val="FirstParagraph"/>
      </w:pPr>
      <w:r>
        <w:t xml:space="preserve">5.1 Provide Direct Data Access via Application Programming Interfaces (APIs) using tools such as FastAPI, Flask, or Django REST Framework that allows users to access, filter, and retrieve data programmatically, facilitating automation and integration into analytical tools and decision-support systems</w:t>
      </w:r>
    </w:p>
    <w:p>
      <w:pPr>
        <w:pStyle w:val="Compact"/>
        <w:numPr>
          <w:ilvl w:val="0"/>
          <w:numId w:val="1015"/>
        </w:numPr>
      </w:pPr>
      <w:r>
        <w:t xml:space="preserve">The Pacific States Marine Fisheries Commission make’s their</w:t>
      </w:r>
      <w:r>
        <w:t xml:space="preserve"> </w:t>
      </w:r>
      <w:hyperlink r:id="rId107">
        <w:r>
          <w:rPr>
            <w:rStyle w:val="Hyperlink"/>
          </w:rPr>
          <w:t xml:space="preserve">PIT Tag Information System</w:t>
        </w:r>
      </w:hyperlink>
      <w:r>
        <w:t xml:space="preserve"> </w:t>
      </w:r>
      <w:r>
        <w:t xml:space="preserve">data accessible via the</w:t>
      </w:r>
      <w:r>
        <w:t xml:space="preserve"> </w:t>
      </w:r>
      <w:hyperlink r:id="rId108">
        <w:r>
          <w:rPr>
            <w:rStyle w:val="Hyperlink"/>
          </w:rPr>
          <w:t xml:space="preserve">PTAGIS API</w:t>
        </w:r>
      </w:hyperlink>
    </w:p>
    <w:p>
      <w:pPr>
        <w:pStyle w:val="FirstParagraph"/>
      </w:pPr>
      <w:r>
        <w:t xml:space="preserve">5.2 Archive data in certified long-term, domain-specific repositories such as the Global Biodiversity Information Facility, the Federated Research Data Repository (FRDR), or NOAA’s NCEI, USGS ScienceBase, or EMODnet</w:t>
      </w:r>
    </w:p>
    <w:p>
      <w:pPr>
        <w:pStyle w:val="Compact"/>
        <w:numPr>
          <w:ilvl w:val="0"/>
          <w:numId w:val="1016"/>
        </w:numPr>
      </w:pPr>
      <w:r>
        <w:t xml:space="preserve">TODO</w:t>
      </w:r>
    </w:p>
    <w:p>
      <w:pPr>
        <w:pStyle w:val="FirstParagraph"/>
      </w:pPr>
      <w:r>
        <w:t xml:space="preserve">5.3 Leverage the integration between GitHub and Zenodo to automate archiving and DOI assignment, ensuring long-term data preservation.</w:t>
      </w:r>
    </w:p>
    <w:bookmarkEnd w:id="109"/>
    <w:bookmarkEnd w:id="110"/>
    <w:bookmarkStart w:id="114"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13"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97">
        <w:r>
          <w:rPr>
            <w:rStyle w:val="Hyperlink"/>
          </w:rPr>
          <w:t xml:space="preserve">NPAFC data catalogue</w:t>
        </w:r>
      </w:hyperlink>
      <w:r>
        <w:t xml:space="preserve"> </w:t>
      </w:r>
      <w:r>
        <w:t xml:space="preserve">is licenced as </w:t>
      </w:r>
      <w:r>
        <w:t xml:space="preserve"> </w:t>
      </w:r>
      <w:hyperlink r:id="rId111">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BodyText"/>
      </w:pPr>
      <w:r>
        <w:t xml:space="preserve">6.3 Create summary dashboards that highlight reuse using</w:t>
      </w:r>
      <w:r>
        <w:t xml:space="preserve"> </w:t>
      </w:r>
      <w:hyperlink r:id="rId112">
        <w:r>
          <w:rPr>
            <w:rStyle w:val="Hyperlink"/>
          </w:rPr>
          <w:t xml:space="preserve">COUNTER Code of Practice compliant metrics</w:t>
        </w:r>
      </w:hyperlink>
      <w:r>
        <w:t xml:space="preserve"> </w:t>
      </w:r>
      <w:r>
        <w:t xml:space="preserve">to track dataset views/downloads and the DataCite APIs</w:t>
      </w:r>
    </w:p>
    <w:p>
      <w:pPr>
        <w:pStyle w:val="BodyText"/>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18"/>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FirstParagraph"/>
      </w:pPr>
      <w:r>
        <w:t xml:space="preserve">6.5 Promote the view that well documented data publications are primary research outputs and are significant contributions to the field</w:t>
      </w:r>
    </w:p>
    <w:bookmarkEnd w:id="113"/>
    <w:bookmarkEnd w:id="114"/>
    <w:bookmarkStart w:id="120"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 (citation required) to be effective. Engaging biologists, Indigenous stewards, and data managers ensures relevance, usability, and long-term participation.</w:t>
      </w:r>
    </w:p>
    <w:bookmarkStart w:id="119"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15">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19"/>
        </w:numPr>
      </w:pPr>
      <w:r>
        <w:t xml:space="preserve">American Fisheries Society 2025 WA-BC Chapter Annual Meeting workshop.</w:t>
      </w:r>
      <w:r>
        <w:t xml:space="preserve"> </w:t>
      </w:r>
      <w:hyperlink r:id="rId116">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17">
        <w:r>
          <w:rPr>
            <w:rStyle w:val="Hyperlink"/>
          </w:rPr>
          <w:t xml:space="preserve">The Salmon Prize Project</w:t>
        </w:r>
      </w:hyperlink>
      <w:r>
        <w:t xml:space="preserve">) that provides tangible value to the communities in which research or monitoring was conducted.</w:t>
      </w:r>
    </w:p>
    <w:p>
      <w:pPr>
        <w:pStyle w:val="BodyText"/>
      </w:pPr>
      <w:r>
        <w:rPr>
          <w:vertAlign w:val="subscript"/>
        </w:rPr>
        <w:t xml:space="preserve">Source:</w:t>
      </w:r>
      <w:r>
        <w:rPr>
          <w:vertAlign w:val="subscript"/>
        </w:rPr>
        <w:t xml:space="preserve"> </w:t>
      </w:r>
      <w:hyperlink r:id="rId118">
        <w:r>
          <w:rPr>
            <w:rStyle w:val="Hyperlink"/>
            <w:vertAlign w:val="subscript"/>
          </w:rPr>
          <w:t xml:space="preserve">Appendix 1. Real-world Example Applications of the Best Practices</w:t>
        </w:r>
      </w:hyperlink>
    </w:p>
    <w:bookmarkEnd w:id="119"/>
    <w:bookmarkEnd w:id="120"/>
    <w:bookmarkEnd w:id="121"/>
    <w:bookmarkEnd w:id="122"/>
    <w:bookmarkStart w:id="161" w:name="section-1"/>
    <w:p>
      <w:pPr>
        <w:pStyle w:val="Heading1"/>
      </w:pPr>
    </w:p>
    <w:bookmarkStart w:id="160"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 materials salmon biologists should engage with to effectively transition into data stewardship roles. The roadmap follows a structured progression similar to</w:t>
      </w:r>
      <w:r>
        <w:t xml:space="preserve"> </w:t>
      </w:r>
      <w:hyperlink r:id="rId123">
        <w:r>
          <w:rPr>
            <w:rStyle w:val="Hyperlink"/>
          </w:rPr>
          <w:t xml:space="preserve">roadmap.sh</w:t>
        </w:r>
      </w:hyperlink>
      <w:r>
        <w:t xml:space="preserve">.</w:t>
      </w:r>
    </w:p>
    <w:bookmarkStart w:id="127"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24">
        <w:r>
          <w:rPr>
            <w:rStyle w:val="Hyperlink"/>
          </w:rPr>
          <w:t xml:space="preserve">FAIR Data Principles</w:t>
        </w:r>
      </w:hyperlink>
    </w:p>
    <w:p>
      <w:pPr>
        <w:pStyle w:val="Compact"/>
        <w:numPr>
          <w:ilvl w:val="1"/>
          <w:numId w:val="1021"/>
        </w:numPr>
      </w:pPr>
      <w:hyperlink r:id="rId125">
        <w:r>
          <w:rPr>
            <w:rStyle w:val="Hyperlink"/>
          </w:rPr>
          <w:t xml:space="preserve">CARE Principles for Indigenous Data 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77">
        <w:r>
          <w:rPr>
            <w:rStyle w:val="Hyperlink"/>
          </w:rPr>
          <w:t xml:space="preserve">FAIR Guiding Principles</w:t>
        </w:r>
      </w:hyperlink>
    </w:p>
    <w:p>
      <w:pPr>
        <w:pStyle w:val="Compact"/>
        <w:numPr>
          <w:ilvl w:val="1"/>
          <w:numId w:val="1022"/>
        </w:numPr>
      </w:pPr>
      <w:r>
        <w:t xml:space="preserve">Carroll et al. 2019</w:t>
      </w:r>
      <w:r>
        <w:t xml:space="preserve"> </w:t>
      </w:r>
      <w:hyperlink r:id="rId41">
        <w:r>
          <w:rPr>
            <w:rStyle w:val="Hyperlink"/>
          </w:rPr>
          <w:t xml:space="preserve">Indigenous Data Governance</w:t>
        </w:r>
      </w:hyperlink>
    </w:p>
    <w:p>
      <w:pPr>
        <w:pStyle w:val="Compact"/>
        <w:numPr>
          <w:ilvl w:val="0"/>
          <w:numId w:val="1020"/>
        </w:numPr>
      </w:pPr>
      <w:r>
        <w:rPr>
          <w:b/>
          <w:bCs/>
        </w:rPr>
        <w:t xml:space="preserve">Courses and Tutorials:</w:t>
      </w:r>
    </w:p>
    <w:p>
      <w:pPr>
        <w:pStyle w:val="Compact"/>
        <w:numPr>
          <w:ilvl w:val="1"/>
          <w:numId w:val="1023"/>
        </w:numPr>
      </w:pPr>
      <w:hyperlink r:id="rId126">
        <w:r>
          <w:rPr>
            <w:rStyle w:val="Hyperlink"/>
          </w:rPr>
          <w:t xml:space="preserve">FAIR Principles Explained (GO-FAIR)</w:t>
        </w:r>
      </w:hyperlink>
    </w:p>
    <w:bookmarkEnd w:id="127"/>
    <w:bookmarkStart w:id="130"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67">
        <w:r>
          <w:rPr>
            <w:rStyle w:val="Hyperlink"/>
          </w:rPr>
          <w:t xml:space="preserve">Data Stewardship</w:t>
        </w:r>
      </w:hyperlink>
    </w:p>
    <w:p>
      <w:pPr>
        <w:pStyle w:val="Compact"/>
        <w:numPr>
          <w:ilvl w:val="1"/>
          <w:numId w:val="1025"/>
        </w:numPr>
      </w:pPr>
      <w:r>
        <w:t xml:space="preserve">NOAA, 2007</w:t>
      </w:r>
      <w:r>
        <w:t xml:space="preserve"> </w:t>
      </w:r>
      <w:hyperlink r:id="rId59">
        <w:r>
          <w:rPr>
            <w:rStyle w:val="Hyperlink"/>
          </w:rPr>
          <w:t xml:space="preserve">Environmental Data 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28">
        <w:r>
          <w:rPr>
            <w:rStyle w:val="Hyperlink"/>
          </w:rPr>
          <w:t xml:space="preserve">DMPTool</w:t>
        </w:r>
      </w:hyperlink>
      <w:r>
        <w:t xml:space="preserve">)</w:t>
      </w:r>
    </w:p>
    <w:p>
      <w:pPr>
        <w:pStyle w:val="Compact"/>
        <w:numPr>
          <w:ilvl w:val="1"/>
          <w:numId w:val="1026"/>
        </w:numPr>
      </w:pPr>
      <w:r>
        <w:t xml:space="preserve">DACI and RACI Frameworks (</w:t>
      </w:r>
      <w:hyperlink r:id="rId129">
        <w:r>
          <w:rPr>
            <w:rStyle w:val="Hyperlink"/>
          </w:rPr>
          <w:t xml:space="preserve">Atlassian DACI Guide</w:t>
        </w:r>
      </w:hyperlink>
      <w:r>
        <w:t xml:space="preserve">)</w:t>
      </w:r>
    </w:p>
    <w:bookmarkEnd w:id="130"/>
    <w:bookmarkStart w:id="135"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31">
        <w:r>
          <w:rPr>
            <w:rStyle w:val="Hyperlink"/>
          </w:rPr>
          <w:t xml:space="preserve">ISO 19115 Metadata Standard</w:t>
        </w:r>
      </w:hyperlink>
    </w:p>
    <w:p>
      <w:pPr>
        <w:pStyle w:val="Compact"/>
        <w:numPr>
          <w:ilvl w:val="1"/>
          <w:numId w:val="1028"/>
        </w:numPr>
      </w:pPr>
      <w:hyperlink r:id="rId132">
        <w:r>
          <w:rPr>
            <w:rStyle w:val="Hyperlink"/>
          </w:rPr>
          <w:t xml:space="preserve">Ecological Metadata Language (EML)</w:t>
        </w:r>
      </w:hyperlink>
    </w:p>
    <w:p>
      <w:pPr>
        <w:pStyle w:val="Compact"/>
        <w:numPr>
          <w:ilvl w:val="1"/>
          <w:numId w:val="1028"/>
        </w:numPr>
      </w:pPr>
      <w:hyperlink r:id="rId100">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33">
        <w:r>
          <w:rPr>
            <w:rStyle w:val="Hyperlink"/>
          </w:rPr>
          <w:t xml:space="preserve">Pacific Salmon Foundation Metadata Standards</w:t>
        </w:r>
      </w:hyperlink>
    </w:p>
    <w:p>
      <w:pPr>
        <w:pStyle w:val="Compact"/>
        <w:numPr>
          <w:ilvl w:val="1"/>
          <w:numId w:val="1029"/>
        </w:numPr>
      </w:pPr>
      <w:hyperlink r:id="rId134">
        <w:r>
          <w:rPr>
            <w:rStyle w:val="Hyperlink"/>
          </w:rPr>
          <w:t xml:space="preserve">Hakai Institute Juvenile Salmon Program</w:t>
        </w:r>
      </w:hyperlink>
    </w:p>
    <w:bookmarkEnd w:id="135"/>
    <w:bookmarkStart w:id="140"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36">
        <w:r>
          <w:rPr>
            <w:rStyle w:val="Hyperlink"/>
          </w:rPr>
          <w:t xml:space="preserve">DOIs via DataCite</w:t>
        </w:r>
      </w:hyperlink>
    </w:p>
    <w:p>
      <w:pPr>
        <w:pStyle w:val="Compact"/>
        <w:numPr>
          <w:ilvl w:val="1"/>
          <w:numId w:val="1031"/>
        </w:numPr>
      </w:pPr>
      <w:hyperlink r:id="rId137">
        <w:r>
          <w:rPr>
            <w:rStyle w:val="Hyperlink"/>
          </w:rPr>
          <w:t xml:space="preserve">ORCID IDs</w:t>
        </w:r>
      </w:hyperlink>
    </w:p>
    <w:p>
      <w:pPr>
        <w:pStyle w:val="Compact"/>
        <w:numPr>
          <w:ilvl w:val="1"/>
          <w:numId w:val="1031"/>
        </w:numPr>
      </w:pPr>
      <w:hyperlink r:id="rId138">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39">
        <w:r>
          <w:rPr>
            <w:rStyle w:val="Hyperlink"/>
          </w:rPr>
          <w:t xml:space="preserve">Introduction to PIDs (DataCite Blog)</w:t>
        </w:r>
      </w:hyperlink>
    </w:p>
    <w:bookmarkEnd w:id="140"/>
    <w:bookmarkStart w:id="145"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3">
        <w:r>
          <w:rPr>
            <w:rStyle w:val="Hyperlink"/>
          </w:rPr>
          <w:t xml:space="preserve">Salmon Ocean Observing System</w:t>
        </w:r>
      </w:hyperlink>
    </w:p>
    <w:p>
      <w:pPr>
        <w:pStyle w:val="Compact"/>
        <w:numPr>
          <w:ilvl w:val="1"/>
          <w:numId w:val="1034"/>
        </w:numPr>
      </w:pPr>
      <w:r>
        <w:t xml:space="preserve">Bull et al. 2022</w:t>
      </w:r>
      <w:r>
        <w:t xml:space="preserve"> </w:t>
      </w:r>
      <w:hyperlink r:id="rId39">
        <w:r>
          <w:rPr>
            <w:rStyle w:val="Hyperlink"/>
          </w:rPr>
          <w:t xml:space="preserve">Likely Suspects 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41">
        <w:r>
          <w:rPr>
            <w:rStyle w:val="Hyperlink"/>
          </w:rPr>
          <w:t xml:space="preserve">FastAPI</w:t>
        </w:r>
      </w:hyperlink>
      <w:r>
        <w:t xml:space="preserve">,</w:t>
      </w:r>
      <w:r>
        <w:t xml:space="preserve"> </w:t>
      </w:r>
      <w:hyperlink r:id="rId142">
        <w:r>
          <w:rPr>
            <w:rStyle w:val="Hyperlink"/>
          </w:rPr>
          <w:t xml:space="preserve">Flask</w:t>
        </w:r>
      </w:hyperlink>
      <w:r>
        <w:t xml:space="preserve">,</w:t>
      </w:r>
      <w:r>
        <w:t xml:space="preserve"> </w:t>
      </w:r>
      <w:hyperlink r:id="rId143">
        <w:r>
          <w:rPr>
            <w:rStyle w:val="Hyperlink"/>
          </w:rPr>
          <w:t xml:space="preserve">Django REST Framework</w:t>
        </w:r>
      </w:hyperlink>
    </w:p>
    <w:p>
      <w:pPr>
        <w:pStyle w:val="Compact"/>
        <w:numPr>
          <w:ilvl w:val="1"/>
          <w:numId w:val="1035"/>
        </w:numPr>
      </w:pPr>
      <w:hyperlink r:id="rId144">
        <w:r>
          <w:rPr>
            <w:rStyle w:val="Hyperlink"/>
          </w:rPr>
          <w:t xml:space="preserve">Zenodo-GitHub Integration</w:t>
        </w:r>
      </w:hyperlink>
    </w:p>
    <w:bookmarkEnd w:id="145"/>
    <w:bookmarkStart w:id="149"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46">
        <w:r>
          <w:rPr>
            <w:rStyle w:val="Hyperlink"/>
          </w:rPr>
          <w:t xml:space="preserve">Creative Commons Attribution 4.0 International License</w:t>
        </w:r>
      </w:hyperlink>
    </w:p>
    <w:p>
      <w:pPr>
        <w:pStyle w:val="Compact"/>
        <w:numPr>
          <w:ilvl w:val="0"/>
          <w:numId w:val="1036"/>
        </w:numPr>
      </w:pPr>
      <w:r>
        <w:rPr>
          <w:b/>
          <w:bCs/>
        </w:rPr>
        <w:t xml:space="preserve">Tracking &amp; Metrics:</w:t>
      </w:r>
    </w:p>
    <w:p>
      <w:pPr>
        <w:pStyle w:val="Compact"/>
        <w:numPr>
          <w:ilvl w:val="1"/>
          <w:numId w:val="1038"/>
        </w:numPr>
      </w:pPr>
      <w:hyperlink r:id="rId147">
        <w:r>
          <w:rPr>
            <w:rStyle w:val="Hyperlink"/>
          </w:rPr>
          <w:t xml:space="preserve">COUNTER Metrics</w:t>
        </w:r>
      </w:hyperlink>
    </w:p>
    <w:p>
      <w:pPr>
        <w:pStyle w:val="Compact"/>
        <w:numPr>
          <w:ilvl w:val="1"/>
          <w:numId w:val="1038"/>
        </w:numPr>
      </w:pPr>
      <w:hyperlink r:id="rId148">
        <w:r>
          <w:rPr>
            <w:rStyle w:val="Hyperlink"/>
          </w:rPr>
          <w:t xml:space="preserve">DataCite API</w:t>
        </w:r>
      </w:hyperlink>
    </w:p>
    <w:bookmarkEnd w:id="149"/>
    <w:bookmarkStart w:id="153"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0">
        <w:r>
          <w:rPr>
            <w:rStyle w:val="Hyperlink"/>
          </w:rPr>
          <w:t xml:space="preserve">Research Data Alliance Salmon Research 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51">
        <w:r>
          <w:rPr>
            <w:rStyle w:val="Hyperlink"/>
          </w:rPr>
          <w:t xml:space="preserve">Interaction Design Foundation</w:t>
        </w:r>
      </w:hyperlink>
      <w:r>
        <w:t xml:space="preserve">)</w:t>
      </w:r>
    </w:p>
    <w:p>
      <w:pPr>
        <w:pStyle w:val="Compact"/>
        <w:numPr>
          <w:ilvl w:val="1"/>
          <w:numId w:val="1041"/>
        </w:numPr>
      </w:pPr>
      <w:r>
        <w:t xml:space="preserve">Community Engaged Research (</w:t>
      </w:r>
      <w:hyperlink r:id="rId152">
        <w:r>
          <w:rPr>
            <w:rStyle w:val="Hyperlink"/>
          </w:rPr>
          <w:t xml:space="preserve">University of Victoria Guide</w:t>
        </w:r>
      </w:hyperlink>
      <w:r>
        <w:t xml:space="preserve">)</w:t>
      </w:r>
    </w:p>
    <w:bookmarkEnd w:id="153"/>
    <w:bookmarkStart w:id="159"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54">
        <w:r>
          <w:rPr>
            <w:rStyle w:val="Hyperlink"/>
          </w:rPr>
          <w:t xml:space="preserve">Introduction to Open Science (FOSTER)</w:t>
        </w:r>
      </w:hyperlink>
    </w:p>
    <w:p>
      <w:pPr>
        <w:pStyle w:val="Compact"/>
        <w:numPr>
          <w:ilvl w:val="1"/>
          <w:numId w:val="1043"/>
        </w:numPr>
      </w:pPr>
      <w:hyperlink r:id="rId155">
        <w:r>
          <w:rPr>
            <w:rStyle w:val="Hyperlink"/>
          </w:rPr>
          <w:t xml:space="preserve">Research Data Management and Sharing (Coursera)</w:t>
        </w:r>
      </w:hyperlink>
    </w:p>
    <w:p>
      <w:pPr>
        <w:pStyle w:val="Compact"/>
        <w:numPr>
          <w:ilvl w:val="0"/>
          <w:numId w:val="1042"/>
        </w:numPr>
      </w:pPr>
      <w:r>
        <w:rPr>
          <w:b/>
          <w:bCs/>
        </w:rPr>
        <w:t xml:space="preserve">Blogs &amp; Websites:</w:t>
      </w:r>
    </w:p>
    <w:p>
      <w:pPr>
        <w:pStyle w:val="Compact"/>
        <w:numPr>
          <w:ilvl w:val="1"/>
          <w:numId w:val="1044"/>
        </w:numPr>
      </w:pPr>
      <w:hyperlink r:id="rId156">
        <w:r>
          <w:rPr>
            <w:rStyle w:val="Hyperlink"/>
          </w:rPr>
          <w:t xml:space="preserve">Open Knowledge Foundation Blog</w:t>
        </w:r>
      </w:hyperlink>
    </w:p>
    <w:p>
      <w:pPr>
        <w:pStyle w:val="Compact"/>
        <w:numPr>
          <w:ilvl w:val="1"/>
          <w:numId w:val="1044"/>
        </w:numPr>
      </w:pPr>
      <w:hyperlink r:id="rId157">
        <w:r>
          <w:rPr>
            <w:rStyle w:val="Hyperlink"/>
          </w:rPr>
          <w:t xml:space="preserve">DataONE Data Management Resources</w:t>
        </w:r>
      </w:hyperlink>
    </w:p>
    <w:p>
      <w:pPr>
        <w:pStyle w:val="FirstParagraph"/>
      </w:pPr>
      <w:r>
        <w:t xml:space="preserve">This roadmap serves as a structured guide to equip salmon biologists with the practical and theoretical skills required to excel in data stewardship roles.</w:t>
      </w:r>
    </w:p>
    <w:p>
      <w:pPr>
        <w:pStyle w:val="BodyText"/>
      </w:pPr>
      <w:r>
        <w:rPr>
          <w:vertAlign w:val="subscript"/>
        </w:rPr>
        <w:t xml:space="preserve">Source:</w:t>
      </w:r>
      <w:r>
        <w:rPr>
          <w:vertAlign w:val="subscript"/>
        </w:rPr>
        <w:t xml:space="preserve"> </w:t>
      </w:r>
      <w:hyperlink r:id="rId158">
        <w:r>
          <w:rPr>
            <w:rStyle w:val="Hyperlink"/>
            <w:vertAlign w:val="subscript"/>
          </w:rPr>
          <w:t xml:space="preserve">Appendix 2: Training Roadmap for Salmon Biologists Transitioning to Data Stewardship</w:t>
        </w:r>
      </w:hyperlink>
    </w:p>
    <w:bookmarkEnd w:id="159"/>
    <w:bookmarkEnd w:id="160"/>
    <w:bookmarkEnd w:id="161"/>
    <w:bookmarkStart w:id="163" w:name="section-2"/>
    <w:p>
      <w:pPr>
        <w:pStyle w:val="Heading1"/>
      </w:pPr>
    </w:p>
    <w:bookmarkStart w:id="162" w:name="appendix-3-getting-started-checklist"/>
    <w:p>
      <w:pPr>
        <w:pStyle w:val="Heading2"/>
      </w:pPr>
      <w:r>
        <w:t xml:space="preserve">Appendix 3: Getting Started Checklist</w:t>
      </w:r>
    </w:p>
    <w:bookmarkEnd w:id="162"/>
    <w:bookmarkEnd w:id="163"/>
    <w:bookmarkStart w:id="192"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167" w:name="practice-1-make-data-governance-explicit"/>
    <w:p>
      <w:pPr>
        <w:pStyle w:val="Heading2"/>
      </w:pPr>
      <w:r>
        <w:t xml:space="preserve">Practice 1 — Make Data Governance Explicit</w:t>
      </w:r>
    </w:p>
    <w:bookmarkStart w:id="164"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64"/>
    <w:bookmarkStart w:id="165"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65"/>
    <w:bookmarkStart w:id="166"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166"/>
    <w:bookmarkEnd w:id="167"/>
    <w:bookmarkStart w:id="171" w:name="practice-2-reuse-proven-infrastructure"/>
    <w:p>
      <w:pPr>
        <w:pStyle w:val="Heading2"/>
      </w:pPr>
      <w:r>
        <w:t xml:space="preserve">Practice 2 — Reuse Proven Infrastructure</w:t>
      </w:r>
    </w:p>
    <w:bookmarkStart w:id="168"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168"/>
    <w:bookmarkStart w:id="169"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169"/>
    <w:bookmarkStart w:id="170"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170"/>
    <w:bookmarkEnd w:id="171"/>
    <w:bookmarkStart w:id="175" w:name="Xd5ee02bc2d4148b1f0172bd1728e238823753c5"/>
    <w:p>
      <w:pPr>
        <w:pStyle w:val="Heading2"/>
      </w:pPr>
      <w:r>
        <w:t xml:space="preserve">Practice 3 — Use Persistent Identifiers (PIDs) for People, Projects, Data, and Methods</w:t>
      </w:r>
    </w:p>
    <w:bookmarkStart w:id="172"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172"/>
    <w:bookmarkStart w:id="173"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173"/>
    <w:bookmarkStart w:id="174"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174"/>
    <w:bookmarkEnd w:id="175"/>
    <w:bookmarkStart w:id="179" w:name="Xf9fd600ab9a6d62c48506102a263b71f9becf16"/>
    <w:p>
      <w:pPr>
        <w:pStyle w:val="Heading2"/>
      </w:pPr>
      <w:r>
        <w:t xml:space="preserve">Practice 4 — Shared Data Models, Vocabularies, and Metadata</w:t>
      </w:r>
    </w:p>
    <w:bookmarkStart w:id="176"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176"/>
    <w:bookmarkStart w:id="177"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177"/>
    <w:bookmarkStart w:id="178"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178"/>
    <w:bookmarkEnd w:id="179"/>
    <w:bookmarkStart w:id="183" w:name="X1953933a9a9dcdc8d482995d59b75af7f7e8d2c"/>
    <w:p>
      <w:pPr>
        <w:pStyle w:val="Heading2"/>
      </w:pPr>
      <w:r>
        <w:t xml:space="preserve">Practice 5 — Store and Analyze Data for Easy Access, Use, and Trust</w:t>
      </w:r>
    </w:p>
    <w:bookmarkStart w:id="180"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180"/>
    <w:bookmarkStart w:id="181"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181"/>
    <w:bookmarkStart w:id="182"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182"/>
    <w:bookmarkEnd w:id="183"/>
    <w:bookmarkStart w:id="187" w:name="X09eeb7331e7661c0e600debc39b8121143e6e9d"/>
    <w:p>
      <w:pPr>
        <w:pStyle w:val="Heading2"/>
      </w:pPr>
      <w:r>
        <w:t xml:space="preserve">Practice 6 — Incentivize and Track Sharing and Reuse</w:t>
      </w:r>
    </w:p>
    <w:bookmarkStart w:id="184"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184"/>
    <w:bookmarkStart w:id="185"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185"/>
    <w:bookmarkStart w:id="186"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186"/>
    <w:bookmarkEnd w:id="187"/>
    <w:bookmarkStart w:id="191" w:name="Xf1ef7e3eb857b993ceb364de2f4e82691aed878"/>
    <w:p>
      <w:pPr>
        <w:pStyle w:val="Heading2"/>
      </w:pPr>
      <w:r>
        <w:t xml:space="preserve">Practice 7 — Build Community Through Co‑Development and Mutual Benefit</w:t>
      </w:r>
    </w:p>
    <w:bookmarkStart w:id="188"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188"/>
    <w:bookmarkStart w:id="189"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189"/>
    <w:bookmarkStart w:id="190"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190"/>
    <w:bookmarkEnd w:id="191"/>
    <w:bookmarkEnd w:id="192"/>
    <w:bookmarkStart w:id="193" w:name="quick-start-306090day-plan"/>
    <w:p>
      <w:pPr>
        <w:pStyle w:val="Heading1"/>
      </w:pPr>
      <w:r>
        <w:t xml:space="preserve">Quick Start: 30/60/90‑Day Plan</w:t>
      </w:r>
    </w:p>
    <w:p>
      <w:pPr>
        <w:pStyle w:val="Compact"/>
        <w:numPr>
          <w:ilvl w:val="0"/>
          <w:numId w:val="1045"/>
        </w:numPr>
      </w:pPr>
      <w:r>
        <w:t xml:space="preserve">First 30 days</w:t>
      </w:r>
    </w:p>
    <w:p>
      <w:pPr>
        <w:pStyle w:val="Compact"/>
        <w:numPr>
          <w:ilvl w:val="1"/>
          <w:numId w:val="1046"/>
        </w:numPr>
      </w:pPr>
      <w:r>
        <w:t xml:space="preserve">Create/standardize DMP + RACI; draft data product charters for top 1–2 datasets.</w:t>
      </w:r>
    </w:p>
    <w:p>
      <w:pPr>
        <w:pStyle w:val="Compact"/>
        <w:numPr>
          <w:ilvl w:val="1"/>
          <w:numId w:val="1047"/>
        </w:numPr>
      </w:pPr>
      <w:r>
        <w:t xml:space="preserve">Move code to version control; document repo structure; capture environment file.</w:t>
      </w:r>
    </w:p>
    <w:p>
      <w:pPr>
        <w:pStyle w:val="Compact"/>
        <w:numPr>
          <w:ilvl w:val="1"/>
          <w:numId w:val="1048"/>
        </w:numPr>
      </w:pPr>
      <w:r>
        <w:t xml:space="preserve">Choose metadata profile and draft a minimal data dictionary; list code lists in use.</w:t>
      </w:r>
    </w:p>
    <w:p>
      <w:pPr>
        <w:pStyle w:val="Compact"/>
        <w:numPr>
          <w:ilvl w:val="0"/>
          <w:numId w:val="1045"/>
        </w:numPr>
      </w:pPr>
      <w:r>
        <w:t xml:space="preserve">By 60 days</w:t>
      </w:r>
    </w:p>
    <w:p>
      <w:pPr>
        <w:pStyle w:val="Compact"/>
        <w:numPr>
          <w:ilvl w:val="1"/>
          <w:numId w:val="1049"/>
        </w:numPr>
      </w:pPr>
      <w:r>
        <w:t xml:space="preserve">Mint/plan PIDs (project page/protocols), add ORCIDs to metadata, prepare DOI for first dataset.</w:t>
      </w:r>
    </w:p>
    <w:p>
      <w:pPr>
        <w:pStyle w:val="Compact"/>
        <w:numPr>
          <w:ilvl w:val="1"/>
          <w:numId w:val="1050"/>
        </w:numPr>
      </w:pPr>
      <w:r>
        <w:t xml:space="preserve">Add schema + vocab validation to CI; separate raw/processed; automate QA/QC checks.</w:t>
      </w:r>
    </w:p>
    <w:p>
      <w:pPr>
        <w:pStyle w:val="Compact"/>
        <w:numPr>
          <w:ilvl w:val="1"/>
          <w:numId w:val="1051"/>
        </w:numPr>
      </w:pPr>
      <w:r>
        <w:t xml:space="preserve">Stand up a reuse dashboard or basic metrics capture; add citation/license to README and metadata.</w:t>
      </w:r>
    </w:p>
    <w:p>
      <w:pPr>
        <w:pStyle w:val="Compact"/>
        <w:numPr>
          <w:ilvl w:val="0"/>
          <w:numId w:val="1045"/>
        </w:numPr>
      </w:pPr>
      <w:r>
        <w:t xml:space="preserve">By 90 days</w:t>
      </w:r>
    </w:p>
    <w:p>
      <w:pPr>
        <w:pStyle w:val="Compact"/>
        <w:numPr>
          <w:ilvl w:val="1"/>
          <w:numId w:val="1052"/>
        </w:numPr>
      </w:pPr>
      <w:r>
        <w:t xml:space="preserve">Publish first governed release to approved repository with DOI and complete metadata.</w:t>
      </w:r>
    </w:p>
    <w:p>
      <w:pPr>
        <w:pStyle w:val="Compact"/>
        <w:numPr>
          <w:ilvl w:val="1"/>
          <w:numId w:val="1053"/>
        </w:numPr>
      </w:pPr>
      <w:r>
        <w:t xml:space="preserve">Formalize cross‑project working group and change control for vocabularies.</w:t>
      </w:r>
    </w:p>
    <w:p>
      <w:pPr>
        <w:pStyle w:val="Compact"/>
        <w:numPr>
          <w:ilvl w:val="1"/>
          <w:numId w:val="1054"/>
        </w:numPr>
      </w:pPr>
      <w:r>
        <w:t xml:space="preserve">Document archival/retention path and verify backups; schedule governance reviews.</w:t>
      </w:r>
    </w:p>
    <w:p>
      <w:r>
        <w:pict>
          <v:rect style="width:0;height:1.5pt" o:hralign="center" o:hrstd="t" o:hr="t"/>
        </w:pict>
      </w:r>
    </w:p>
    <w:bookmarkEnd w:id="193"/>
    <w:bookmarkStart w:id="195" w:name="X5baba2ffe9b3bc899417ced2108067196c8d8e9"/>
    <w:p>
      <w:pPr>
        <w:pStyle w:val="Heading1"/>
      </w:pPr>
      <w:r>
        <w:t xml:space="preserve">Minimal Artifacts Checklist (Project Level)</w:t>
      </w:r>
    </w:p>
    <w:p>
      <w:pPr>
        <w:pStyle w:val="Compact"/>
        <w:numPr>
          <w:ilvl w:val="0"/>
          <w:numId w:val="1055"/>
        </w:numPr>
      </w:pPr>
      <w:r>
        <w:t xml:space="preserve">DMP (with IDS considerations) and RACI</w:t>
      </w:r>
    </w:p>
    <w:p>
      <w:pPr>
        <w:pStyle w:val="Compact"/>
        <w:numPr>
          <w:ilvl w:val="0"/>
          <w:numId w:val="1056"/>
        </w:numPr>
      </w:pPr>
      <w:r>
        <w:t xml:space="preserve">Data product charter(s) for priority dataset(s)</w:t>
      </w:r>
    </w:p>
    <w:p>
      <w:pPr>
        <w:pStyle w:val="Compact"/>
        <w:numPr>
          <w:ilvl w:val="0"/>
          <w:numId w:val="1057"/>
        </w:numPr>
      </w:pPr>
      <w:r>
        <w:t xml:space="preserve">Versioned repository with releases and changelog</w:t>
      </w:r>
    </w:p>
    <w:p>
      <w:pPr>
        <w:pStyle w:val="Compact"/>
        <w:numPr>
          <w:ilvl w:val="0"/>
          <w:numId w:val="1058"/>
        </w:numPr>
      </w:pPr>
      <w:r>
        <w:t xml:space="preserve">Metadata profile file + data dictionary + code lists</w:t>
      </w:r>
    </w:p>
    <w:p>
      <w:pPr>
        <w:pStyle w:val="Compact"/>
        <w:numPr>
          <w:ilvl w:val="0"/>
          <w:numId w:val="1059"/>
        </w:numPr>
      </w:pPr>
      <w:r>
        <w:t xml:space="preserve">Reproducible workflow + environment file or container</w:t>
      </w:r>
    </w:p>
    <w:p>
      <w:pPr>
        <w:pStyle w:val="Compact"/>
        <w:numPr>
          <w:ilvl w:val="0"/>
          <w:numId w:val="1060"/>
        </w:numPr>
      </w:pPr>
      <w:r>
        <w:t xml:space="preserve">QA/QC checks and results log</w:t>
      </w:r>
    </w:p>
    <w:p>
      <w:pPr>
        <w:pStyle w:val="Compact"/>
        <w:numPr>
          <w:ilvl w:val="0"/>
          <w:numId w:val="1061"/>
        </w:numPr>
      </w:pPr>
      <w:r>
        <w:t xml:space="preserve">Citation and license statements</w:t>
      </w:r>
    </w:p>
    <w:p>
      <w:pPr>
        <w:pStyle w:val="Compact"/>
        <w:numPr>
          <w:ilvl w:val="0"/>
          <w:numId w:val="1062"/>
        </w:numPr>
      </w:pPr>
      <w:r>
        <w:t xml:space="preserve">Plan for PIDs (ORCID list, dataset/protocol DOIs)</w:t>
      </w:r>
    </w:p>
    <w:p>
      <w:pPr>
        <w:pStyle w:val="Compact"/>
        <w:numPr>
          <w:ilvl w:val="0"/>
          <w:numId w:val="1063"/>
        </w:numPr>
      </w:pPr>
      <w:r>
        <w:t xml:space="preserve">Evidence of stakeholder engagement and roadmap</w:t>
      </w:r>
    </w:p>
    <w:p>
      <w:pPr>
        <w:pStyle w:val="FirstParagraph"/>
      </w:pPr>
      <w:r>
        <w:t xml:space="preserve">Maintain this list as a living issue in your repository and review quarterly.</w:t>
      </w:r>
    </w:p>
    <w:p>
      <w:pPr>
        <w:pStyle w:val="BodyText"/>
      </w:pPr>
      <w:r>
        <w:rPr>
          <w:vertAlign w:val="subscript"/>
        </w:rPr>
        <w:t xml:space="preserve">Source:</w:t>
      </w:r>
      <w:r>
        <w:rPr>
          <w:vertAlign w:val="subscript"/>
        </w:rPr>
        <w:t xml:space="preserve"> </w:t>
      </w:r>
      <w:hyperlink r:id="rId194">
        <w:r>
          <w:rPr>
            <w:rStyle w:val="Hyperlink"/>
            <w:vertAlign w:val="subscript"/>
          </w:rPr>
          <w:t xml:space="preserve">Appendix 3: Getting Started Checklist</w:t>
        </w:r>
      </w:hyperlink>
    </w:p>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94" Target="https://br-johnson.github.io/sdm-paper/appendices/appendix-3-getting-started-checklist-preview.html#4b192801-5963-4d43-856c-af81fe79b6c7"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57" Target="http://www.cohencommission.ca/" TargetMode="External" /><Relationship Type="http://schemas.openxmlformats.org/officeDocument/2006/relationships/hyperlink" Id="rId108" Target="https://api.ptagis.org/index.html#:~:text=PTAGIS%20API%20Gets%20a%20list,PTAGIS%20and%20currently%20contributing%20data" TargetMode="External" /><Relationship Type="http://schemas.openxmlformats.org/officeDocument/2006/relationships/hyperlink" Id="rId139" Target="https://blog.datacite.org/" TargetMode="External" /><Relationship Type="http://schemas.openxmlformats.org/officeDocument/2006/relationships/hyperlink" Id="rId156" Target="https://blog.okfn.org/" TargetMode="External" /><Relationship Type="http://schemas.openxmlformats.org/officeDocument/2006/relationships/hyperlink" Id="rId47" Target="https://books.google.ca/books?id=I_S0xCME0CYC" TargetMode="External" /><Relationship Type="http://schemas.openxmlformats.org/officeDocument/2006/relationships/hyperlink" Id="rId118" Target="https://br-johnson.github.io/sdm-paper/appendices/appendix-1-real-world-examples-preview.html#30b34dea-aa0c-434f-83f6-11e787d2ff9d" TargetMode="External" /><Relationship Type="http://schemas.openxmlformats.org/officeDocument/2006/relationships/hyperlink" Id="rId158" Target="https://br-johnson.github.io/sdm-paper/appendices/appendix-2-training-roadmap-preview.html#58b31dec-16b4-4641-8c4b-057e26e04581" TargetMode="External" /><Relationship Type="http://schemas.openxmlformats.org/officeDocument/2006/relationships/hyperlink" Id="rId194" Target="https://br-johnson.github.io/sdm-paper/appendices/appendix-3-getting-started-checklist-preview.html#4b192801-5963-4d43-856c-af81fe79b6c7" TargetMode="External" /><Relationship Type="http://schemas.openxmlformats.org/officeDocument/2006/relationships/hyperlink" Id="rId96" Target="https://commons.datacite.org/ror.org/04901nj56" TargetMode="External" /><Relationship Type="http://schemas.openxmlformats.org/officeDocument/2006/relationships/hyperlink" Id="rId146" Target="https://creativecommons.org/licenses/by/4.0/" TargetMode="External" /><Relationship Type="http://schemas.openxmlformats.org/officeDocument/2006/relationships/hyperlink" Id="rId111" Target="https://creativecommons.org/licenses/by/4.0/deed.en" TargetMode="External" /><Relationship Type="http://schemas.openxmlformats.org/officeDocument/2006/relationships/hyperlink" Id="rId97" Target="https://data.npafc.org" TargetMode="External" /><Relationship Type="http://schemas.openxmlformats.org/officeDocument/2006/relationships/hyperlink" Id="rId91" Target="https://data.salmonwatersheds.ca/result?datasetid=2" TargetMode="External" /><Relationship Type="http://schemas.openxmlformats.org/officeDocument/2006/relationships/hyperlink" Id="rId136" Target="https://datacite.org" TargetMode="External" /><Relationship Type="http://schemas.openxmlformats.org/officeDocument/2006/relationships/hyperlink" Id="rId148" Target="https://datacite.org/service.html" TargetMode="External" /><Relationship Type="http://schemas.openxmlformats.org/officeDocument/2006/relationships/hyperlink" Id="rId128" Target="https://dmptool.org" TargetMode="External" /><Relationship Type="http://schemas.openxmlformats.org/officeDocument/2006/relationships/hyperlink" Id="rId84" Target="https://dmptool.org/public_templates?page=ALL" TargetMode="External" /><Relationship Type="http://schemas.openxmlformats.org/officeDocument/2006/relationships/hyperlink" Id="rId71" Target="https://doi.org/10.1007/s00267-014-0258-2" TargetMode="External" /><Relationship Type="http://schemas.openxmlformats.org/officeDocument/2006/relationships/hyperlink" Id="rId67" Target="https://doi.org/10.1016/c2012-0-07057-3" TargetMode="External" /><Relationship Type="http://schemas.openxmlformats.org/officeDocument/2006/relationships/hyperlink" Id="rId51" Target="https://doi.org/10.1038/s41559-023-02161-2" TargetMode="External" /><Relationship Type="http://schemas.openxmlformats.org/officeDocument/2006/relationships/hyperlink" Id="rId77"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73" Target="https://doi.org/10.1101/2025.03.14.643022" TargetMode="External" /><Relationship Type="http://schemas.openxmlformats.org/officeDocument/2006/relationships/hyperlink" Id="rId55" Target="https://doi.org/10.1111/j.1442-9993.2011.02351.x" TargetMode="External" /><Relationship Type="http://schemas.openxmlformats.org/officeDocument/2006/relationships/hyperlink" Id="rId65" Target="https://doi.org/10.1139/f2012-063" TargetMode="External" /><Relationship Type="http://schemas.openxmlformats.org/officeDocument/2006/relationships/hyperlink" Id="rId69" Target="https://doi.org/10.1139/facets-2020-0008" TargetMode="External" /><Relationship Type="http://schemas.openxmlformats.org/officeDocument/2006/relationships/hyperlink" Id="rId89" Target="https://doi.org/10.14286/duc6mu" TargetMode="External" /><Relationship Type="http://schemas.openxmlformats.org/officeDocument/2006/relationships/hyperlink" Id="rId59" Target="https://doi.org/10.17226/12017" TargetMode="External" /><Relationship Type="http://schemas.openxmlformats.org/officeDocument/2006/relationships/hyperlink" Id="rId53" Target="https://doi.org/10.23849/npafcb7/6a4ddpde4" TargetMode="External" /><Relationship Type="http://schemas.openxmlformats.org/officeDocument/2006/relationships/hyperlink" Id="rId43" Target="https://doi.org/10.23849/npafcb7/x3rlpo23a" TargetMode="External" /><Relationship Type="http://schemas.openxmlformats.org/officeDocument/2006/relationships/hyperlink" Id="rId75" Target="https://doi.org/10.3390/su5020478" TargetMode="External" /><Relationship Type="http://schemas.openxmlformats.org/officeDocument/2006/relationships/hyperlink" Id="rId90" Target="https://doi.org/10.5281/zenodo.14194638" TargetMode="External" /><Relationship Type="http://schemas.openxmlformats.org/officeDocument/2006/relationships/hyperlink" Id="rId63" Target="https://doi.org/10.5334/dsj-2018-015" TargetMode="External" /><Relationship Type="http://schemas.openxmlformats.org/officeDocument/2006/relationships/hyperlink" Id="rId41" Target="https://doi.org/10.5334/dsj-2019-031" TargetMode="External" /><Relationship Type="http://schemas.openxmlformats.org/officeDocument/2006/relationships/hyperlink" Id="rId49" Target="https://doi.org/10.5751/ES-12117-260226" TargetMode="External" /><Relationship Type="http://schemas.openxmlformats.org/officeDocument/2006/relationships/hyperlink" Id="rId100" Target="https://dwc.tdwg.org/" TargetMode="External" /><Relationship Type="http://schemas.openxmlformats.org/officeDocument/2006/relationships/hyperlink" Id="rId132" Target="https://eml.ecoinformatics.org/" TargetMode="External" /><Relationship Type="http://schemas.openxmlformats.org/officeDocument/2006/relationships/hyperlink" Id="rId141" Target="https://fastapi.tiangolo.com" TargetMode="External" /><Relationship Type="http://schemas.openxmlformats.org/officeDocument/2006/relationships/hyperlink" Id="rId85" Target="https://fisheriesservices.nwifc.org/" TargetMode="External" /><Relationship Type="http://schemas.openxmlformats.org/officeDocument/2006/relationships/hyperlink" Id="rId142" Target="https://flask.palletsprojects.com" TargetMode="External" /><Relationship Type="http://schemas.openxmlformats.org/officeDocument/2006/relationships/hyperlink" Id="rId144" Target="https://guides.github.com/activities/citable-code/" TargetMode="External" /><Relationship Type="http://schemas.openxmlformats.org/officeDocument/2006/relationships/hyperlink" Id="rId133" Target="https://marinedata.psf.ca" TargetMode="External" /><Relationship Type="http://schemas.openxmlformats.org/officeDocument/2006/relationships/hyperlink" Id="rId134" Target="https://obis.org/dataset/81a9b931-8f47-49c4-94ff-0e46d7e9f1c9" TargetMode="External" /><Relationship Type="http://schemas.openxmlformats.org/officeDocument/2006/relationships/hyperlink" Id="rId137" Target="https://orcid.org" TargetMode="External" /><Relationship Type="http://schemas.openxmlformats.org/officeDocument/2006/relationships/hyperlink" Id="rId94" Target="https://orcid.org/" TargetMode="External" /><Relationship Type="http://schemas.openxmlformats.org/officeDocument/2006/relationships/hyperlink" Id="rId116" Target="https://pnamp.org/event/workshop-fishing-for-clarity-knowledge-modeling-to-support-cross-organizational-collaboration-and-data-sharing-about-salmon-escapement/" TargetMode="External" /><Relationship Type="http://schemas.openxmlformats.org/officeDocument/2006/relationships/hyperlink" Id="rId83" Target="https://raw.githubusercontent.com/Br-Johnson/sdm-paper/refs/heads/main/examples/Cal_DMP.pdf" TargetMode="External" /><Relationship Type="http://schemas.openxmlformats.org/officeDocument/2006/relationships/hyperlink" Id="rId150" Target="https://rd-alliance.org/groups/salmon-data-management" TargetMode="External" /><Relationship Type="http://schemas.openxmlformats.org/officeDocument/2006/relationships/hyperlink" Id="rId123" Target="https://roadmap.sh" TargetMode="External" /><Relationship Type="http://schemas.openxmlformats.org/officeDocument/2006/relationships/hyperlink" Id="rId138" Target="https://ror.org" TargetMode="External" /><Relationship Type="http://schemas.openxmlformats.org/officeDocument/2006/relationships/hyperlink" Id="rId95" Target="https://ror.org/search?page=1&amp;query=salmon" TargetMode="External" /><Relationship Type="http://schemas.openxmlformats.org/officeDocument/2006/relationships/hyperlink" Id="rId117" Target="https://salmonprize.com" TargetMode="External" /><Relationship Type="http://schemas.openxmlformats.org/officeDocument/2006/relationships/hyperlink" Id="rId103" Target="https://wdfw.wa.gov/fishing/management/hatcheries/escapement#definitions" TargetMode="External" /><Relationship Type="http://schemas.openxmlformats.org/officeDocument/2006/relationships/hyperlink" Id="rId129" Target="https://www.atlassian.com/team-playbook/plays/daci" TargetMode="External" /><Relationship Type="http://schemas.openxmlformats.org/officeDocument/2006/relationships/hyperlink" Id="rId112" Target="https://www.countermetrics.org/" TargetMode="External" /><Relationship Type="http://schemas.openxmlformats.org/officeDocument/2006/relationships/hyperlink" Id="rId155" Target="https://www.coursera.org/learn/data-management" TargetMode="External" /><Relationship Type="http://schemas.openxmlformats.org/officeDocument/2006/relationships/hyperlink" Id="rId157" Target="https://www.dataone.org/resources/" TargetMode="External" /><Relationship Type="http://schemas.openxmlformats.org/officeDocument/2006/relationships/hyperlink" Id="rId143" Target="https://www.django-rest-framework.org" TargetMode="External" /><Relationship Type="http://schemas.openxmlformats.org/officeDocument/2006/relationships/hyperlink" Id="rId154" Target="https://www.fosteropenscience.eu/toolkit" TargetMode="External" /><Relationship Type="http://schemas.openxmlformats.org/officeDocument/2006/relationships/hyperlink" Id="rId104" Target="https://www.fpc.org/111_sharedfiles/ColumbiaRiverBasinAdultFishPassageCountsMetadata.pdf" TargetMode="External" /><Relationship Type="http://schemas.openxmlformats.org/officeDocument/2006/relationships/hyperlink" Id="rId101" Target="https://www.gbif.org/dataset/72de3af4-1572-4f2d-8006-2bfa2007065c" TargetMode="External" /><Relationship Type="http://schemas.openxmlformats.org/officeDocument/2006/relationships/hyperlink" Id="rId102" Target="https://www.gbif.org/dataset/search?project_id=IYS" TargetMode="External" /><Relationship Type="http://schemas.openxmlformats.org/officeDocument/2006/relationships/hyperlink" Id="rId125" Target="https://www.gida-global.org/care" TargetMode="External" /><Relationship Type="http://schemas.openxmlformats.org/officeDocument/2006/relationships/hyperlink" Id="rId124" Target="https://www.go-fair.org/fair-principles/" TargetMode="External" /><Relationship Type="http://schemas.openxmlformats.org/officeDocument/2006/relationships/hyperlink" Id="rId126" Target="https://www.go-fair.org/resources/videos/fair-principles-explained/" TargetMode="External" /><Relationship Type="http://schemas.openxmlformats.org/officeDocument/2006/relationships/hyperlink" Id="rId151" Target="https://www.interaction-design.org/literature/topics/user-centered-design" TargetMode="External" /><Relationship Type="http://schemas.openxmlformats.org/officeDocument/2006/relationships/hyperlink" Id="rId131" Target="https://www.iso.org/standard/53798.html" TargetMode="External" /><Relationship Type="http://schemas.openxmlformats.org/officeDocument/2006/relationships/hyperlink" Id="rId61" Target="https://www.noaa.gov/sites/default/files/2025-03/NAO_212-15B_-_Data_Management_Handbook.pdf" TargetMode="External" /><Relationship Type="http://schemas.openxmlformats.org/officeDocument/2006/relationships/hyperlink" Id="rId147" Target="https://www.projectcounter.org/" TargetMode="External" /><Relationship Type="http://schemas.openxmlformats.org/officeDocument/2006/relationships/hyperlink" Id="rId86" Target="https://www.psc.org/membership-lists/" TargetMode="External" /><Relationship Type="http://schemas.openxmlformats.org/officeDocument/2006/relationships/hyperlink" Id="rId45" Target="https://www.psc.org/wp-content/uploads/wpfd/preview_files/The-Sociocultural-Significance-of-Salmon-to-Tribes-and-First-Nations(5da9942da9fb4fe0d77eb32bd6165e43).pdf" TargetMode="External" /><Relationship Type="http://schemas.openxmlformats.org/officeDocument/2006/relationships/hyperlink" Id="rId107" Target="https://www.psmfc.org/program/pit-tag-information-systems-ptagis" TargetMode="External" /><Relationship Type="http://schemas.openxmlformats.org/officeDocument/2006/relationships/hyperlink" Id="rId115" Target="https://www.rd-alliance.org/groups/salmon-research-and-monitoring-ig/" TargetMode="External" /><Relationship Type="http://schemas.openxmlformats.org/officeDocument/2006/relationships/hyperlink" Id="rId152"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
  <dcterms:created xsi:type="dcterms:W3CDTF">2025-11-14T04:45:53Z</dcterms:created>
  <dcterms:modified xsi:type="dcterms:W3CDTF">2025-11-14T04:45:53Z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DRAFT. A Blueprint for Domain-Specific Best Practices in Fisheries Data Stewardship</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