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DRAFT A Blueprint for Domain-Specific Best Practice</w:t>
      </w:r>
    </w:p>
    <w:p>
      <w:pPr>
        <w:pStyle w:val="FirstParagraph"/>
      </w:pPr>
      <w:r>
        <w:rPr>
          <w:b/>
          <w:bCs/>
        </w:rPr>
        <w:t xml:space="preserve">Keywords:</w:t>
      </w:r>
      <w:r>
        <w:t xml:space="preserve"> </w:t>
      </w:r>
      <w:r>
        <w:t xml:space="preserve">Salmon data stewardship, data interoperability, FAIR principles, persistent identifiers (PIDs), controlled vocabularies, metadata standards, application programming Interface (API), data citation, ontology development</w:t>
      </w:r>
    </w:p>
    <w:p>
      <w:pPr>
        <w:pStyle w:val="BodyText"/>
      </w:pPr>
      <w:r>
        <w:t xml:space="preserve">To do items:</w:t>
      </w:r>
    </w:p>
    <w:p>
      <w:pPr>
        <w:pStyle w:val="Compact"/>
        <w:numPr>
          <w:ilvl w:val="0"/>
          <w:numId w:val="1001"/>
        </w:numPr>
      </w:pPr>
      <w:r>
        <w:t xml:space="preserve">Discuss differences between data management plans, data governance charters, data sharing agreements</w:t>
      </w:r>
    </w:p>
    <w:p>
      <w:pPr>
        <w:pStyle w:val="Compact"/>
        <w:numPr>
          <w:ilvl w:val="0"/>
          <w:numId w:val="1001"/>
        </w:numPr>
      </w:pPr>
      <w:r>
        <w:t xml:space="preserve">Incorporate ref to Streamnet Data Exchange Standards somehow</w:t>
      </w:r>
    </w:p>
    <w:p>
      <w:pPr>
        <w:pStyle w:val="Compact"/>
        <w:numPr>
          <w:ilvl w:val="0"/>
          <w:numId w:val="1001"/>
        </w:numPr>
      </w:pPr>
      <w:r>
        <w:t xml:space="preserve">Add in figures</w:t>
      </w:r>
    </w:p>
    <w:p>
      <w:pPr>
        <w:pStyle w:val="Compact"/>
        <w:numPr>
          <w:ilvl w:val="0"/>
          <w:numId w:val="1001"/>
        </w:numPr>
      </w:pPr>
      <w:r>
        <w:t xml:space="preserve">fill out appendix 1 more thoroughly</w:t>
      </w:r>
    </w:p>
    <w:p>
      <w:pPr>
        <w:pStyle w:val="Compact"/>
        <w:numPr>
          <w:ilvl w:val="0"/>
          <w:numId w:val="1001"/>
        </w:numPr>
      </w:pPr>
      <w:r>
        <w:t xml:space="preserve">Refine Reorg the content in appendix 2 (traning roadmap) and decide if it Makes sense to put some of that content into a 3rd column in table 1</w:t>
      </w:r>
    </w:p>
    <w:p>
      <w:pPr>
        <w:pStyle w:val="Compact"/>
        <w:numPr>
          <w:ilvl w:val="0"/>
          <w:numId w:val="1001"/>
        </w:numPr>
      </w:pPr>
      <w:r>
        <w:t xml:space="preserve">Abstract refinement</w:t>
      </w:r>
    </w:p>
    <w:bookmarkStart w:id="20" w:name="abstract"/>
    <w:p>
      <w:pPr>
        <w:pStyle w:val="Heading3"/>
      </w:pPr>
      <w:r>
        <w:t xml:space="preserve">Abstract</w:t>
      </w:r>
    </w:p>
    <w:p>
      <w:pPr>
        <w:pStyle w:val="FirstParagraph"/>
      </w:pPr>
      <w:r>
        <w:t xml:space="preserve">Fisheries management, research, and broader conservation efforts increasingly generate vast and diverse data crucial for timely decision-making. Yet these data remain largely fragmented across jurisdictions, disciplines, and outdated infrastructure, limiting their use in responsive fisheries management. This is precisely the work of data stewardship—making scattered, cross‑jurisdictional data usable across systems.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Through a case study of a historical sockeye salmon productivity analysis spanning Pacific Coast jurisdictions, we highlight how clearly defined data stewardship practices enhance data reproducibility, integration, and management efficacy. We provide practical guidance for those transitioning into these essential stewardship roles, including domain-specific tools, templates, and examples from salmon research and management. We argue that effective salmon management depends on formally recognizing data stewardship as an institutionally supported responsibility. These practices integrate both sociocultural and technical approaches to ensure data meet modern open science principles and respect Indigenous Data Sovereignty. With a foundation of shared practices, data stewards will enable faster, more transparent decision-making, support development of machine-actionable datasets with high-quality metadata and consistent semantics that enable automated analysis, and expand the use of cross-jurisdictional datasets—ultimately strengthening the management and conservation of salmon populations and the ecosystems they inhabit, and, by extension, other data-rich fisheri</w:t>
      </w:r>
    </w:p>
    <w:bookmarkEnd w:id="20"/>
    <w:bookmarkStart w:id="24" w:name="the-data-stewardship-challenge"/>
    <w:p>
      <w:pPr>
        <w:pStyle w:val="Heading2"/>
      </w:pPr>
      <w:r>
        <w:t xml:space="preserve">The Data Stewardship Challenge</w:t>
      </w:r>
    </w:p>
    <w:p>
      <w:pPr>
        <w:pStyle w:val="FirstParagraph"/>
      </w:pPr>
      <w:r>
        <w:t xml:space="preserve">Integrated, timely, and high-quality data are essential for effective fisheries research, management, and conservation. Such data underpin robust stock assessments, inform adaptive management strategies, enable rapid responses to emerging threats, and support transparent decision-making. Yet across the fisheries domain, biologists face persistent challenges in achieving these goals. Data on fish populations, health, and environmental conditions are often fragmented, inconsistently measured, and incomplete across time, space, and life-history stages</w:t>
      </w:r>
      <w:r>
        <w:t xml:space="preserve"> </w:t>
      </w:r>
      <w:r>
        <w:t xml:space="preserve">(NOAA Data Governance Committee 2024)</w:t>
      </w:r>
      <w:r>
        <w:t xml:space="preserve">. These issues limit the utility of fisheries data for research and management.</w:t>
      </w:r>
    </w:p>
    <w:bookmarkStart w:id="21" w:name="cross-jurisdictional-data-fragmentation"/>
    <w:p>
      <w:pPr>
        <w:pStyle w:val="Heading3"/>
      </w:pPr>
      <w:r>
        <w:t xml:space="preserve">Cross-Jurisdictional Data Fragmentation</w:t>
      </w:r>
    </w:p>
    <w:p>
      <w:pPr>
        <w:pStyle w:val="FirstParagraph"/>
      </w:pPr>
      <w:r>
        <w:t xml:space="preserve">The challenges are especially pronounced in salmon science, where data must be integrated across multiple ecological regions and jurisdictional boundaries</w:t>
      </w:r>
      <w:r>
        <w:t xml:space="preserve"> </w:t>
      </w:r>
      <w:r>
        <w:t xml:space="preserve">(Groot and Margolis 1991)</w:t>
      </w:r>
      <w:r>
        <w:t xml:space="preserve">. Salmon biologists routinely collect information managed by diverse agencies and institutions, often in isolation and without a focus on interoperability. While localized successes in data coordination exist—particularly within regional fisheries management offices and treaty commissions—salmon data integrated across agencies for each phase of the salmon life cycle is uncommon and costly for most programs</w:t>
      </w:r>
      <w:r>
        <w:t xml:space="preserve"> </w:t>
      </w:r>
      <w:r>
        <w:t xml:space="preserve">(Marmorek et al. 2011; Inman et al. 2021; Diack et al. 2024)</w:t>
      </w:r>
      <w:r>
        <w:t xml:space="preserve">. Most salmon datasets remain confined within institutional silos, often undocumented, stored in outdated systems, or formatted according to internal standards that are incompatible with broader integration efforts. Even within organizations, data can be siloed by data type or program with freshwater data going in one data system while estuary, open-ocean, and commercial fishery data each housed in separate data systems with limited ability to easily re-connect the data through shared identifiers.</w:t>
      </w:r>
    </w:p>
    <w:p>
      <w:pPr>
        <w:pStyle w:val="BodyText"/>
      </w:pPr>
      <w:r>
        <w:t xml:space="preserve">This fragmentation is compounded by the number of disciplines and organizations involved. Geneticists, oceanographers, freshwater ecologists, stock assessment biologists, and fisheries managers all contribute data using their own field-specific conventions and workflows. Meanwhile, data is distributed across federal, state, provincial, tribal, and academic institutions—each with its own mandates, technologies, and metadata requirements. Many salmon data-holding organizations rely on aging infrastructure or opaque, undocumented standards that lag behind modern open-science practices. This tangle of disciplinary and institutional fragmentation slows integration, hinders reproducibility, and delays analyses that could otherwise inform time-sensitive management decisions, conservation actions, or restoration plans. When critical datasets are hard to find, access, or interpret, biologists and analysts lose valuable time trying to reconstruct or harmonize them, reducing transparency, increasing the risk of errors, and delaying urgent conservation or management responses.</w:t>
      </w:r>
    </w:p>
    <w:bookmarkEnd w:id="21"/>
    <w:bookmarkStart w:id="22" w:name="the-need-for-coordinated-stewardship"/>
    <w:p>
      <w:pPr>
        <w:pStyle w:val="Heading3"/>
      </w:pPr>
      <w:r>
        <w:t xml:space="preserve">The Need for Coordinated Stewardship</w:t>
      </w:r>
    </w:p>
    <w:p>
      <w:pPr>
        <w:pStyle w:val="FirstParagraph"/>
      </w:pPr>
      <w:r>
        <w:t xml:space="preserve">The growing complexity of fisheries management, combined with escalating environmental uncertainties due to climate change, demands rapid, integrated, and robust data analyses</w:t>
      </w:r>
      <w:r>
        <w:t xml:space="preserve"> </w:t>
      </w:r>
      <w:r>
        <w:t xml:space="preserve">(Bull et al. 2022, ward_surveyjoin_2025)</w:t>
      </w:r>
      <w:r>
        <w:t xml:space="preserve">. The mismatch between fragmented data systems and fixed administrative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institutional support, or access to community-agreed best practices. Tasks such as documenting methods, aligning terminology, formatting for data sharing, and publishing data are typically performed off the side of a biologist’s desk. A lack of institutional support</w:t>
      </w:r>
      <w:r>
        <w:t xml:space="preserve"> </w:t>
      </w:r>
      <w:r>
        <w:t xml:space="preserve">(Diack et al. 2024)</w:t>
      </w:r>
      <w:r>
        <w:t xml:space="preserve">, training</w:t>
      </w:r>
      <w:r>
        <w:t xml:space="preserve"> </w:t>
      </w:r>
      <w:r>
        <w:t xml:space="preserve">(Volk, Lucero, and Barnas 2014)</w:t>
      </w:r>
      <w:r>
        <w:t xml:space="preserve">, and dedicated roles for data management further relegate critical data stewardship tasks to an</w:t>
      </w:r>
      <w:r>
        <w:t xml:space="preserve"> </w:t>
      </w:r>
      <w:r>
        <w:rPr>
          <w:i/>
          <w:iCs/>
        </w:rPr>
        <w:t xml:space="preserve">ad hoc</w:t>
      </w:r>
      <w:r>
        <w:t xml:space="preserve"> </w:t>
      </w:r>
      <w:r>
        <w:t xml:space="preserve">status.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Both researchers and managers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Rodriguez-Lonebear, and Martinez 2019; Jennings et al. 2023)</w:t>
      </w:r>
      <w:r>
        <w:t xml:space="preserve">. Adhering to CARE data management principles is all the more important when it comes to salmon related data given the sociocultural importance of salmon to First Nations, Tribes, and Indigenous communities throughout the North Pacific and North Atlantic regions</w:t>
      </w:r>
      <w:r>
        <w:t xml:space="preserve"> </w:t>
      </w:r>
      <w:r>
        <w:t xml:space="preserve">(Ween and Colombi 2013; Earth Economics 2021)</w:t>
      </w:r>
      <w:r>
        <w:t xml:space="preserve">.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Without clear support and guidance, well-intentioned practitioners are left with ad hoc approaches that limit reuse and interoperability. This gap can only be bridged by equipping both data producers and stewards with tools, support, and institutional backing to publish interoperable, machine-readable metadata and datasets in alignment with shared principles.</w:t>
      </w:r>
    </w:p>
    <w:bookmarkEnd w:id="22"/>
    <w:bookmarkStart w:id="23" w:name="framework-for-action"/>
    <w:p>
      <w:pPr>
        <w:pStyle w:val="Heading3"/>
      </w:pPr>
      <w:r>
        <w:t xml:space="preserve">Framework for Action</w:t>
      </w:r>
    </w:p>
    <w:p>
      <w:pPr>
        <w:pStyle w:val="FirstParagraph"/>
      </w:pPr>
      <w:r>
        <w:t xml:space="preserve">In this paper, we provide actionable practices, examples, and workflows to help salmon biologists improve the usability, reproducibility, and long-term impact of their data. We develop seven best practices for salmon data stewardship and demonstrate their application through a real-world case study of cross-jurisdictional sockeye productivity analysis. Our case study shows how cross-jurisdictional alignment of terms and reproducible pipelines can enable faster status assessment updates and more responsive management decisions. Our goal is to support salmon biologists and the broader research and management community to effectively steward salmon data. To keep this broadly useful, we emphasize patterns—lifecycle planning, metadata governance, vocabulary alignment, reproducible publishing, and role clarity—that any taxa-centric community can adopt, substituting their own standards and tools. We also map the seven practices to widely used data-lifecycle models to make adoption straightforward outside salmon contexts.</w:t>
      </w:r>
    </w:p>
    <w:p>
      <w:pPr>
        <w:pStyle w:val="BodyText"/>
      </w:pPr>
      <w:r>
        <w:t xml:space="preserve">A coordinated approach to stewarding salmon data should follow established open science standards and adhere explicitly to FAIR principles, tailored specifically for salmon research and management. Our practices build upon existing standards and vocabularies including Darwin Core, OBIS, schema.org, and OBO Foundry ontologies, ensuring compatibility with broader biodiversity informatics infrastructure rather than reinventing foundational frameworks. Achieving meaningful interoperability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openly for maximum discoverability.</w:t>
      </w:r>
      <w:r>
        <w:t xml:space="preserve"> </w:t>
      </w:r>
      <w:r>
        <w:rPr>
          <w:b/>
          <w:bCs/>
        </w:rPr>
        <w:t xml:space="preserve">Deep interoperability</w:t>
      </w:r>
      <w:r>
        <w:t xml:space="preserve"> </w:t>
      </w:r>
      <w:r>
        <w:t xml:space="preserve">demands precise definitions of salmon-specific terms and methods, ensuring data remains meaningful and usable across contexts. Salmon data stewards can improve conservation outcomes for salmon by coordinating across boundaries to develop a shared foundation of data stewardship practices. To address these foundational challenges, we must establish clear data stewardship roles and practices that span the entire data lifecycle—from collection and documentation through integration and long-term preservation.</w:t>
      </w:r>
    </w:p>
    <w:bookmarkEnd w:id="23"/>
    <w:bookmarkEnd w:id="24"/>
    <w:bookmarkStart w:id="28"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Plotkin 2014; Peng et al. 2018)</w:t>
      </w:r>
      <w:r>
        <w:t xml:space="preserve">. Within fisheries science, stewardship involves ensuring data quality, compliance with agreed-upon standards, and the establishment of clear governance to guide data collection, documentation, integration, and preservation. However, salmon data stewardship goes beyond mere technical data management; it involves actively facilitating collaboration, communication, and consensus-building among data producers and users across multiple institutions and jurisdictions.</w:t>
      </w:r>
    </w:p>
    <w:p>
      <w:pPr>
        <w:pStyle w:val="BodyText"/>
      </w:pPr>
      <w:r>
        <w:t xml:space="preserve">Data stewardship represents a critical subdiscipline within the broader field of data science. While data science is often narrowly associated with machine learning and statistical modeling, we adopt a more comprehensive view that encompasses how we treat, handle, and represent data, along with the social and technical information systems that enable data use for science. Data stewardship focuses on the practical implementation of these principles—ensuring that data infrastructure, standards, and practices actually serve scientific and management needs rather than remaining theoretical constructs.</w:t>
      </w:r>
    </w:p>
    <w:p>
      <w:pPr>
        <w:pStyle w:val="BodyText"/>
      </w:pPr>
      <w:r>
        <w:t xml:space="preserve">Effective salmon data stewards serve as boundary spanners and community managers, convening diverse stakeholders across agencies, First Nations, Tribes, and academic institutions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JOHNSONBRE\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Critical Functions of Salmon Data Stewards</w:t>
            </w:r>
          </w:p>
        </w:tc>
      </w:tr>
      <w:tr>
        <w:trPr>
          <w:cantSplit/>
        </w:trPr>
        <w:tc>
          <w:tcPr>
            <w:tcMar>
              <w:top w:w="108" w:type="dxa"/>
              <w:bottom w:w="108" w:type="dxa"/>
            </w:tcMar>
          </w:tcPr>
          <w:p>
            <w:pPr>
              <w:pStyle w:val="BodyText"/>
            </w:pPr>
            <w:pPr>
              <w:spacing w:before="16"/>
            </w:pPr>
            <w:r>
              <w:t xml:space="preserve">Effective salmon data stewards perform several critical functions:</w:t>
            </w:r>
          </w:p>
          <w:p>
            <w:pPr>
              <w:numPr>
                <w:ilvl w:val="0"/>
                <w:numId w:val="1002"/>
              </w:numPr>
            </w:pPr>
            <w:r>
              <w:rPr>
                <w:b/>
                <w:bCs/>
              </w:rPr>
              <w:t xml:space="preserve">Technical oversight</w:t>
            </w:r>
            <w:r>
              <w:t xml:space="preserve">: Ensuring metadata completeness, adherence to standardized terminologies and vocabularies, and robust quality assurance protocols.</w:t>
            </w:r>
          </w:p>
          <w:p>
            <w:pPr>
              <w:numPr>
                <w:ilvl w:val="0"/>
                <w:numId w:val="1002"/>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2"/>
              </w:numPr>
            </w:pPr>
            <w:r>
              <w:rPr>
                <w:b/>
                <w:bCs/>
              </w:rPr>
              <w:t xml:space="preserve">Institutional advocacy</w:t>
            </w:r>
            <w:r>
              <w:t xml:space="preserve">: Championing the institutional recognition of data stewardship roles, promoting sustained investment and dedicated resources for data management infrastructure and practices.</w:t>
            </w:r>
          </w:p>
          <w:p>
            <w:pPr>
              <w:numPr>
                <w:ilvl w:val="0"/>
                <w:numId w:val="1002"/>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For example, stewards can document consent constraints in metadata fields and enforce access restrictions via repository user roles, ensuring that Indigenous data sovereignty is respected while maintaining data discoverability and appropriate reuse. This governance approach is particularly critical for sensitive data such as Traditional Knowledge and sensitive habitat locations, where stewardship practices must balance open science principles with appropriate access controls and cultural protocols.</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requires IT to act as an enabler, rather than gatekeeper, provisioning self-serve data infrastructure. The Data Steward, serving as a translator between IT and biologists, enables biologists to engage independently with data systems, fostering ownership and accountability and ultimately improving data quality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28"/>
    <w:bookmarkStart w:id="36" w:name="X60ebd145321232d0cc1201b616f5c51519bfa55"/>
    <w:p>
      <w:pPr>
        <w:pStyle w:val="Heading2"/>
      </w:pPr>
      <w:r>
        <w:t xml:space="preserve">Updating Pacific-wide Sockeye Productivity: A Case Study for What Agencies Could Do Now</w:t>
      </w:r>
    </w:p>
    <w:p>
      <w:pPr>
        <w:pStyle w:val="FirstParagraph"/>
      </w:pPr>
      <w:r>
        <w:t xml:space="preserve">This case study revisits a Pacific Coast-wide sockeye productivity dataset assembled from diverse agency sources by academic researchers</w:t>
      </w:r>
      <w:r>
        <w:t xml:space="preserve"> </w:t>
      </w:r>
      <w:r>
        <w:t xml:space="preserve">(Peterman and Dorner 2012)</w:t>
      </w:r>
      <w:r>
        <w:t xml:space="preserve">. We reflect not on the significant work the research team accomplished, but rather on the preventable institutional and technical barriers that impeded their work—and continue to burden data updates and reuse efforts today. Their study examined productivity trends across 64 sockeye salmon stocks spanning Washington, British Columbia (B.C.), and Alaska. However, attempting to replicate or build upon this analysis today is an arduous, time-consuming, and error-prone endeavour due to fragmented data sources, inconsistent formats, and lack of standardized practices among the key institutions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 practices (</w:t>
      </w:r>
      <w:hyperlink w:anchor="tbl-bestpractices">
        <w:r>
          <w:rPr>
            <w:rStyle w:val="Hyperlink"/>
          </w:rPr>
          <w:t xml:space="preserve">Table 2</w:t>
        </w:r>
      </w:hyperlink>
      <w:r>
        <w:t xml:space="preserve">) that data-holding agencies could do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29"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3"/>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3"/>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29"/>
    <w:bookmarkStart w:id="30"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4"/>
        </w:numPr>
      </w:pPr>
      <w:r>
        <w:rPr>
          <w:b/>
          <w:bCs/>
        </w:rPr>
        <w:t xml:space="preserve">Best Practice 2: Reuse Proven Infrastructure to Save Time and Increase Interoperability</w:t>
      </w:r>
      <w:r>
        <w:br/>
      </w:r>
      <w:r>
        <w:t xml:space="preserve">Rather than developing bespoke data catalogues or repositories, agencies should adopt existing catalogues used beyond their own institution such as the Ocean Biodiversity Information System, Zenodo, or the Knowledge Network for Biocomplexity). These are proven platforms with a broad user base that support persistent storage, discoverability, and interoperability.</w:t>
      </w:r>
    </w:p>
    <w:p>
      <w:pPr>
        <w:numPr>
          <w:ilvl w:val="0"/>
          <w:numId w:val="1004"/>
        </w:numPr>
      </w:pPr>
      <w:r>
        <w:rPr>
          <w:b/>
          <w:bCs/>
        </w:rPr>
        <w:t xml:space="preserve">Best Practice 5: Store and Analyze Data in Ways That Others Can Easily Access, Use, and Trust</w:t>
      </w:r>
      <w:r>
        <w:br/>
      </w:r>
      <w:r>
        <w:t xml:space="preserve">Agencies can use open-access data repositories or their own institutional data repositories or catalogues that make data discoverable using PIDs and provide programmatic access to data possible using Application Programming Interfaces.</w:t>
      </w:r>
    </w:p>
    <w:bookmarkEnd w:id="30"/>
    <w:bookmarkStart w:id="31"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5"/>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responisibility matrix such as</w:t>
      </w:r>
      <w:r>
        <w:t xml:space="preserve"> </w:t>
      </w:r>
      <w:r>
        <w:t xml:space="preserve">“responsible, approver, consulted, informed”</w:t>
      </w:r>
      <w:r>
        <w:t xml:space="preserve"> </w:t>
      </w:r>
      <w:r>
        <w:t xml:space="preserve">(RACI) to clarify govermamce, assign maintenance responsibility, and ensure continuity across staff turnover and institutional change.</w:t>
      </w:r>
    </w:p>
    <w:p>
      <w:pPr>
        <w:numPr>
          <w:ilvl w:val="0"/>
          <w:numId w:val="1005"/>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5"/>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analytical contribution of the Peterman productivity dataset remains significant, the barriers encountered in compiling, interpreting, and maintaining the data are instructive. These challenges are not unique to Peterman’s team—they reflect systemic gaps in data governance, documentation, infrastructure, and incentives. By adopting the seven best practices detailed in</w:t>
      </w:r>
      <w:r>
        <w:t xml:space="preserve"> </w:t>
      </w:r>
      <w:hyperlink w:anchor="tbl-bestpractices">
        <w:r>
          <w:rPr>
            <w:rStyle w:val="Hyperlink"/>
          </w:rPr>
          <w:t xml:space="preserve">Table 2</w:t>
        </w:r>
      </w:hyperlink>
      <w:r>
        <w:t xml:space="preserve">, agencies and researchers can transform legacy datasets into living resources, enabling reproducibility, easing collaboration, and accelerating insight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bookmarkEnd w:id="31"/>
    <w:bookmarkStart w:id="33" w:name="X5d00c596c372248200562eaae5a15da4aacb9a2"/>
    <w:p>
      <w:pPr>
        <w:pStyle w:val="Heading3"/>
      </w:pPr>
      <w:r>
        <w:t xml:space="preserve">How our seven practices align to data lifecycle models</w:t>
      </w:r>
    </w:p>
    <w:p>
      <w:pPr>
        <w:pStyle w:val="FirstParagraph"/>
      </w:pPr>
      <w:r>
        <w:t xml:space="preserve">Our seven best practices map directly to established data lifecycle models, demonstrating their broad applicability beyond salmon science. The NOAA Data Lifecycle provides a widely recognized framework with six sequential stages (Plan, Obtain, Process, Preserve, Access, Disposition) and four cross-cutting elements (Document, Track and Monitor, Quality, Security)</w:t>
      </w:r>
      <w:r>
        <w:t xml:space="preserve"> </w:t>
      </w:r>
      <w:r>
        <w:t xml:space="preserve">(NOAA Data Governance Committee 2024)</w:t>
      </w:r>
      <w:r>
        <w:t xml:space="preserve">. This alignment ensures our practices are grounded in established federal data management standards and can be readily adopted by other agencies and research communities.</w:t>
      </w:r>
    </w:p>
    <w:p>
      <w:pPr>
        <w:pStyle w:val="BodyText"/>
      </w:pPr>
      <w:r>
        <w:t xml:space="preserve">The mapping shown in</w:t>
      </w:r>
      <w:r>
        <w:t xml:space="preserve"> </w:t>
      </w:r>
      <w:hyperlink w:anchor="tbl-lifecycle">
        <w:r>
          <w:rPr>
            <w:rStyle w:val="Hyperlink"/>
          </w:rPr>
          <w:t xml:space="preserve">Table 1</w:t>
        </w:r>
      </w:hyperlink>
      <w:r>
        <w:t xml:space="preserve"> </w:t>
      </w:r>
      <w:r>
        <w:t xml:space="preserve">demonstrates how each practice addresses specific lifecycle stages while the cross-cutting elements ensure comprehensive data stewardship throughout the entire lifecycle. For example, Practice 1 (Data Governance) spans the entire lifecycle from planning through disposition, while Practice 4 (Shared Data Models) primarily supports the Process and Preserve stages. This systematic alignment with established frameworks enhances the credibility and portability of our approach across different domains and institutions.</w:t>
      </w:r>
    </w:p>
    <w:tbl>
      <w:tblPr>
        <w:tblStyle w:val="Table"/>
        <w:tblW w:type="pct" w:w="5000"/>
        <w:tblLayout w:type="fixed"/>
        <w:tblLook w:firstRow="0" w:lastRow="0" w:firstColumn="0" w:lastColumn="0" w:noHBand="0" w:noVBand="0" w:val="0000"/>
      </w:tblPr>
      <w:tblGrid>
        <w:gridCol w:w="7920"/>
      </w:tblGrid>
      <w:tr>
        <w:tc>
          <w:tcPr/>
          <w:bookmarkStart w:id="32" w:name="tbl-lifecycle"/>
          <w:p>
            <w:pPr>
              <w:jc w:val="center"/>
            </w:pPr>
            <w:pPr>
              <w:jc w:val="start"/>
              <w:spacing w:before="200"/>
              <w:pStyle w:val="ImageCaption"/>
            </w:pPr>
            <w:r>
              <w:t xml:space="preserve">Table 1: Mapping of seven best practices to NOAA Data Lifecycle stages and cross-cutting elements</w:t>
            </w:r>
          </w:p>
          <w:tbl>
            <w:tblPr>
              <w:tblStyle w:val="Table"/>
              <w:tblW w:type="pct" w:w="4748"/>
              <w:tblLayout w:type="fixed"/>
              <w:tblLook w:firstRow="1" w:lastRow="0" w:firstColumn="0" w:lastColumn="0" w:noHBand="0" w:noVBand="0" w:val="0020"/>
            </w:tblPr>
            <w:tblGrid>
              <w:gridCol w:w="2129"/>
              <w:gridCol w:w="532"/>
              <w:gridCol w:w="598"/>
              <w:gridCol w:w="665"/>
              <w:gridCol w:w="732"/>
              <w:gridCol w:w="598"/>
              <w:gridCol w:w="931"/>
              <w:gridCol w:w="1331"/>
            </w:tblGrid>
            <w:tr>
              <w:trPr>
                <w:tblHeader w:val="on"/>
              </w:trPr>
              <w:tc>
                <w:tcPr/>
                <w:p>
                  <w:pPr>
                    <w:pStyle w:val="Compact"/>
                    <w:jc w:val="left"/>
                    <w:jc w:val="center"/>
                  </w:pPr>
                  <w:r>
                    <w:t xml:space="preserve">Best Practice</w:t>
                  </w:r>
                </w:p>
              </w:tc>
              <w:tc>
                <w:tcPr/>
                <w:p>
                  <w:pPr>
                    <w:pStyle w:val="Compact"/>
                    <w:jc w:val="center"/>
                    <w:jc w:val="center"/>
                  </w:pPr>
                  <w:r>
                    <w:t xml:space="preserve">Plan</w:t>
                  </w:r>
                </w:p>
              </w:tc>
              <w:tc>
                <w:tcPr/>
                <w:p>
                  <w:pPr>
                    <w:pStyle w:val="Compact"/>
                    <w:jc w:val="center"/>
                    <w:jc w:val="center"/>
                  </w:pPr>
                  <w:r>
                    <w:t xml:space="preserve">Obtain</w:t>
                  </w:r>
                </w:p>
              </w:tc>
              <w:tc>
                <w:tcPr/>
                <w:p>
                  <w:pPr>
                    <w:pStyle w:val="Compact"/>
                    <w:jc w:val="center"/>
                    <w:jc w:val="center"/>
                  </w:pPr>
                  <w:r>
                    <w:t xml:space="preserve">Process</w:t>
                  </w:r>
                </w:p>
              </w:tc>
              <w:tc>
                <w:tcPr/>
                <w:p>
                  <w:pPr>
                    <w:pStyle w:val="Compact"/>
                    <w:jc w:val="center"/>
                    <w:jc w:val="center"/>
                  </w:pPr>
                  <w:r>
                    <w:t xml:space="preserve">Preserve</w:t>
                  </w:r>
                </w:p>
              </w:tc>
              <w:tc>
                <w:tcPr/>
                <w:p>
                  <w:pPr>
                    <w:pStyle w:val="Compact"/>
                    <w:jc w:val="center"/>
                    <w:jc w:val="center"/>
                  </w:pPr>
                  <w:r>
                    <w:t xml:space="preserve">Access</w:t>
                  </w:r>
                </w:p>
              </w:tc>
              <w:tc>
                <w:tcPr/>
                <w:p>
                  <w:pPr>
                    <w:pStyle w:val="Compact"/>
                    <w:jc w:val="center"/>
                    <w:jc w:val="center"/>
                  </w:pPr>
                  <w:r>
                    <w:t xml:space="preserve">Disposition</w:t>
                  </w:r>
                </w:p>
              </w:tc>
              <w:tc>
                <w:tcPr/>
                <w:p>
                  <w:pPr>
                    <w:pStyle w:val="Compact"/>
                    <w:jc w:val="left"/>
                    <w:jc w:val="center"/>
                  </w:pPr>
                  <w:r>
                    <w:t xml:space="preserve">Cross-cutting</w:t>
                  </w:r>
                </w:p>
              </w:tc>
            </w:tr>
            <w:tr>
              <w:tc>
                <w:tcPr/>
                <w:p>
                  <w:pPr>
                    <w:pStyle w:val="Compact"/>
                    <w:jc w:val="left"/>
                    <w:jc w:val="center"/>
                  </w:pPr>
                  <w:r>
                    <w:rPr>
                      <w:b/>
                      <w:bCs/>
                    </w:rPr>
                    <w:t xml:space="preserve">1. Data Governance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r>
              <w:tc>
                <w:tcPr/>
                <w:p>
                  <w:pPr>
                    <w:pStyle w:val="Compact"/>
                    <w:jc w:val="left"/>
                    <w:jc w:val="center"/>
                  </w:pPr>
                  <w:r>
                    <w:rPr>
                      <w:b/>
                      <w:bCs/>
                    </w:rPr>
                    <w:t xml:space="preserve">2. Reuse Infrastructure</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3. Persistent Identifiers</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Track</w:t>
                  </w:r>
                </w:p>
              </w:tc>
            </w:tr>
            <w:tr>
              <w:tc>
                <w:tcPr/>
                <w:p>
                  <w:pPr>
                    <w:pStyle w:val="Compact"/>
                    <w:jc w:val="left"/>
                    <w:jc w:val="center"/>
                  </w:pPr>
                  <w:r>
                    <w:rPr>
                      <w:b/>
                      <w:bCs/>
                    </w:rPr>
                    <w:t xml:space="preserve">4. Shared Data Models</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jc w:val="left"/>
                    <w:jc w:val="center"/>
                  </w:pPr>
                  <w:r>
                    <w:t xml:space="preserve">Quality</w:t>
                  </w:r>
                </w:p>
              </w:tc>
            </w:tr>
            <w:tr>
              <w:tc>
                <w:tcPr/>
                <w:p>
                  <w:pPr>
                    <w:pStyle w:val="Compact"/>
                    <w:jc w:val="left"/>
                    <w:jc w:val="center"/>
                  </w:pPr>
                  <w:r>
                    <w:rPr>
                      <w:b/>
                      <w:bCs/>
                    </w:rPr>
                    <w:t xml:space="preserve">5. Accessible Storage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Security, Quality</w:t>
                  </w:r>
                </w:p>
              </w:tc>
            </w:tr>
            <w:tr>
              <w:tc>
                <w:tcPr/>
                <w:p>
                  <w:pPr>
                    <w:pStyle w:val="Compact"/>
                    <w:jc w:val="left"/>
                    <w:jc w:val="center"/>
                  </w:pPr>
                  <w:r>
                    <w:rPr>
                      <w:b/>
                      <w:bCs/>
                    </w:rPr>
                    <w:t xml:space="preserve">6. Incentivize Sharing</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7. Community Building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bl>
          <w:bookmarkEnd w:id="32"/>
          <w:p/>
        </w:tc>
      </w:tr>
    </w:tbl>
    <w:bookmarkEnd w:id="33"/>
    <w:bookmarkStart w:id="35" w:name="X4a622e91370b4ade7d1994003fe12cab1d1f41d"/>
    <w:p>
      <w:pPr>
        <w:pStyle w:val="Heading3"/>
      </w:pPr>
      <w:r>
        <w:t xml:space="preserve">Metadata governance as a cross-cutting foundation</w:t>
      </w:r>
    </w:p>
    <w:p>
      <w:pPr>
        <w:pStyle w:val="FirstParagraph"/>
      </w:pPr>
      <w:r>
        <w:t xml:space="preserve">Unlike the sequential stages of the data lifecycle, metadata governance operates as a continuous, cross-cutting practice that spans all phases simultaneously. While data moves through Plan → Obtain → Process → Preserve → Access → Disposition, metadata governance must be active throughout, ensuring that documentation, quality control, and discoverability are maintained at every stage. This cross-cutting nature means that metadata governance failures at any point can compromise the entire data stewardship effort, making it a critical foundation rather than a discrete step in the process.</w:t>
      </w:r>
    </w:p>
    <w:p>
      <w:pPr>
        <w:pStyle w:val="BodyText"/>
      </w:pPr>
      <w:r>
        <w:t xml:space="preserve">The lifecycle mapping in</w:t>
      </w:r>
      <w:r>
        <w:t xml:space="preserve"> </w:t>
      </w:r>
      <w:hyperlink w:anchor="tbl-lifecycle">
        <w:r>
          <w:rPr>
            <w:rStyle w:val="Hyperlink"/>
          </w:rPr>
          <w:t xml:space="preserve">Table 1</w:t>
        </w:r>
      </w:hyperlink>
      <w:r>
        <w:t xml:space="preserve"> </w:t>
      </w:r>
      <w:r>
        <w:t xml:space="preserve">reveals that data governance elements appear in every stage: planning metadata requirements (Plan), documenting collection methods (Obtain), structuring and validating metadata (Process), ensuring long-term preservation (Preserve), enabling discovery and access (Access), and managing final disposition (Disposition). This pervasive presence underscores why metadata governance must be treated as an institutional capability rather than a project-specific task, requiring dedicated resources, trained personnel, and systematic processes that operate continuously across all data activities.</w:t>
      </w:r>
    </w:p>
    <w:tbl>
      <w:tblPr>
        <w:tblStyle w:val="Table"/>
        <w:tblW w:type="pct" w:w="5000"/>
        <w:tblLayout w:type="fixed"/>
        <w:tblLook w:firstRow="0" w:lastRow="0" w:firstColumn="0" w:lastColumn="0" w:noHBand="0" w:noVBand="0" w:val="0000"/>
      </w:tblPr>
      <w:tblGrid>
        <w:gridCol w:w="7920"/>
      </w:tblGrid>
      <w:tr>
        <w:tc>
          <w:tcPr/>
          <w:bookmarkStart w:id="34" w:name="tbl-bestpractices"/>
          <w:p>
            <w:pPr>
              <w:jc w:val="center"/>
            </w:pPr>
            <w:pPr>
              <w:jc w:val="start"/>
              <w:spacing w:before="200"/>
              <w:pStyle w:val="ImageCaption"/>
            </w:pPr>
            <w:r>
              <w:t xml:space="preserve">Table 2: Best practices and practical applications of salmon data stewardship</w:t>
            </w:r>
          </w:p>
          <w:tbl>
            <w:tblPr>
              <w:tblStyle w:val="Table"/>
              <w:tblW w:type="pct" w:w="5000"/>
              <w:tblLayout w:type="fixed"/>
              <w:tblLook w:firstRow="1" w:lastRow="0" w:firstColumn="0" w:lastColumn="0" w:noHBand="0" w:noVBand="0" w:val="0020"/>
            </w:tblPr>
            <w:tblGrid>
              <w:gridCol w:w="5571"/>
              <w:gridCol w:w="2348"/>
            </w:tblGrid>
            <w:tr>
              <w:trPr>
                <w:tblHeader w:val="on"/>
              </w:trPr>
              <w:tc>
                <w:tcPr/>
                <w:p>
                  <w:pPr>
                    <w:pStyle w:val="Compact"/>
                    <w:jc w:val="left"/>
                    <w:jc w:val="center"/>
                  </w:pPr>
                  <w:r>
                    <w:t xml:space="preserve">Best Practice</w:t>
                  </w:r>
                </w:p>
              </w:tc>
              <w:tc>
                <w:tcPr/>
                <w:p>
                  <w:pPr>
                    <w:pStyle w:val="Compact"/>
                    <w:jc w:val="left"/>
                    <w:jc w:val="center"/>
                  </w:pPr>
                  <w:r>
                    <w:t xml:space="preserve">Practical Applications</w:t>
                  </w:r>
                </w:p>
              </w:tc>
            </w:tr>
            <w:tr>
              <w:tc>
                <w:tcPr/>
                <w:p>
                  <w:pPr>
                    <w:pStyle w:val="Compact"/>
                    <w:jc w:val="left"/>
                    <w:jc w:val="center"/>
                  </w:pPr>
                  <w:r>
                    <w:rPr>
                      <w:b/>
                      <w:bCs/>
                    </w:rPr>
                    <w:t xml:space="preserve">1. Make Data Governance Explicit to Support Trust and Reuse.</w:t>
                  </w:r>
                  <w:r>
                    <w:t xml:space="preserve"> </w:t>
                  </w:r>
                  <w:r>
                    <w:t xml:space="preserve">Establishing clear governance structures ensures quality, accountability, and compliance with FAIR and CARE principles. It enables trust and long-term stewardship across multi-organizational projects.</w:t>
                  </w:r>
                </w:p>
              </w:tc>
              <w:tc>
                <w:tcPr/>
                <w:p>
                  <w:pPr>
                    <w:jc w:val="left"/>
                    <w:jc w:val="center"/>
                  </w:pPr>
                  <w:r>
                    <w:t xml:space="preserve">- Document roles and responsibilities using a Data Product Governance Charter and structured frameworks (e.g., DACI or RACI).</w:t>
                  </w:r>
                </w:p>
                <w:p>
                  <w:pPr>
                    <w:jc w:val="left"/>
                    <w:jc w:val="center"/>
                  </w:pPr>
                  <w:r>
                    <w:t xml:space="preserve">- Integrate CARE principles to respect First Nations, Tribes, and Indigenous data rights.</w:t>
                  </w:r>
                </w:p>
                <w:p>
                  <w:pPr>
                    <w:jc w:val="left"/>
                    <w:jc w:val="center"/>
                  </w:pPr>
                  <w:r>
                    <w:t xml:space="preserve">- Form a governance or oversight committee to review data standards, timelines, and agreements.</w:t>
                  </w:r>
                </w:p>
              </w:tc>
            </w:tr>
            <w:tr>
              <w:tc>
                <w:tcPr/>
                <w:p>
                  <w:pPr>
                    <w:pStyle w:val="Compact"/>
                    <w:jc w:val="left"/>
                    <w:jc w:val="center"/>
                  </w:pPr>
                  <w:r>
                    <w:rPr>
                      <w:b/>
                      <w:bCs/>
                    </w:rPr>
                    <w:t xml:space="preserve">2. Reuse Proven Infrastructure to Save Time and Increase Interoperability.</w:t>
                  </w:r>
                  <w:r>
                    <w:t xml:space="preserve"> </w:t>
                  </w:r>
                  <w:r>
                    <w:t xml:space="preserve">Leveraging existing platforms and technologies reduces costs and improves long-term interoperability and sustainability.</w:t>
                  </w:r>
                </w:p>
              </w:tc>
              <w:tc>
                <w:tcPr/>
                <w:p>
                  <w:pPr>
                    <w:jc w:val="left"/>
                    <w:jc w:val="center"/>
                  </w:pPr>
                  <w:r>
                    <w:t xml:space="preserve">- Use domain-specific repositories like OBIS or GBIF.</w:t>
                  </w:r>
                </w:p>
                <w:p>
                  <w:pPr>
                    <w:jc w:val="left"/>
                    <w:jc w:val="center"/>
                  </w:pPr>
                  <w:r>
                    <w:t xml:space="preserve">- Publish and archive data with KNB or Zenodo.</w:t>
                  </w:r>
                </w:p>
              </w:tc>
            </w:tr>
            <w:tr>
              <w:tc>
                <w:tcPr/>
                <w:p>
                  <w:pPr>
                    <w:pStyle w:val="Compact"/>
                    <w:jc w:val="left"/>
                    <w:jc w:val="center"/>
                  </w:pPr>
                  <w:r>
                    <w:rPr>
                      <w:b/>
                      <w:bCs/>
                    </w:rPr>
                    <w:t xml:space="preserve">3. Make Data, People, Projects, and Outputs Discoverable, Linked and Citable with PIDs.</w:t>
                  </w:r>
                  <w:r>
                    <w:t xml:space="preserve"> </w:t>
                  </w:r>
                  <w:r>
                    <w:t xml:space="preserve">Persistent identifiers (PIDs) connect data with researchers, institutions, and outputs—supporting data citation, reuse, and automated attribution.</w:t>
                  </w:r>
                </w:p>
              </w:tc>
              <w:tc>
                <w:tcPr/>
                <w:p>
                  <w:pPr>
                    <w:jc w:val="left"/>
                    <w:jc w:val="center"/>
                  </w:pPr>
                  <w:r>
                    <w:t xml:space="preserve">- Encourage use of ORCID iDs for researchers.</w:t>
                  </w:r>
                </w:p>
                <w:p>
                  <w:pPr>
                    <w:jc w:val="left"/>
                    <w:jc w:val="center"/>
                  </w:pPr>
                  <w:r>
                    <w:t xml:space="preserve">- Use ROR IDs for institutions.</w:t>
                  </w:r>
                </w:p>
                <w:p>
                  <w:pPr>
                    <w:jc w:val="left"/>
                    <w:jc w:val="center"/>
                  </w:pPr>
                  <w:r>
                    <w:t xml:space="preserve">- Assign DOIs via DataCite for data packages.</w:t>
                  </w:r>
                </w:p>
                <w:p>
                  <w:pPr>
                    <w:jc w:val="left"/>
                    <w:jc w:val="center"/>
                  </w:pPr>
                  <w:r>
                    <w:t xml:space="preserve">- Embed DOIs in dashboards and metadata.</w:t>
                  </w:r>
                </w:p>
              </w:tc>
            </w:tr>
            <w:tr>
              <w:tc>
                <w:tcPr/>
                <w:p>
                  <w:pPr>
                    <w:pStyle w:val="Compact"/>
                    <w:jc w:val="left"/>
                    <w:jc w:val="center"/>
                  </w:pPr>
                  <w:r>
                    <w:rPr>
                      <w:b/>
                      <w:bCs/>
                    </w:rPr>
                    <w:t xml:space="preserve">4. Use Shared Data Models, Ontologies and Metadata to Enable Integration.</w:t>
                  </w:r>
                  <w:r>
                    <w:t xml:space="preserve"> </w:t>
                  </w:r>
                  <w:r>
                    <w:t xml:space="preserve">Common vocabularies, metadata standards, and ontologies support integration across systems and preserve semantic meaning.</w:t>
                  </w:r>
                </w:p>
              </w:tc>
              <w:tc>
                <w:tcPr/>
                <w:p>
                  <w:pPr>
                    <w:jc w:val="left"/>
                    <w:jc w:val="center"/>
                  </w:pPr>
                  <w:r>
                    <w:t xml:space="preserve">- Adopt ISO 19115, EML, or DataCite metadata standards.</w:t>
                  </w:r>
                </w:p>
                <w:p>
                  <w:pPr>
                    <w:jc w:val="left"/>
                    <w:jc w:val="center"/>
                  </w:pPr>
                  <w:r>
                    <w:t xml:space="preserve">- Re-use terms defined in Salmon Domain Ontology.</w:t>
                  </w:r>
                </w:p>
                <w:p>
                  <w:pPr>
                    <w:jc w:val="left"/>
                    <w:jc w:val="center"/>
                  </w:pPr>
                  <w:r>
                    <w:t xml:space="preserve">- Model datasets using the Darwin Core Data Package Model.</w:t>
                  </w:r>
                </w:p>
              </w:tc>
            </w:tr>
            <w:tr>
              <w:tc>
                <w:tcPr/>
                <w:p>
                  <w:pPr>
                    <w:pStyle w:val="Compact"/>
                    <w:jc w:val="left"/>
                    <w:jc w:val="center"/>
                  </w:pP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w:t>
                  </w:r>
                </w:p>
              </w:tc>
              <w:tc>
                <w:tcPr/>
                <w:p>
                  <w:pPr>
                    <w:jc w:val="left"/>
                    <w:jc w:val="center"/>
                  </w:pPr>
                  <w:r>
                    <w:t xml:space="preserve">- Provide APIs using FastAPI, Flask, or Django REST.</w:t>
                  </w:r>
                </w:p>
                <w:p>
                  <w:pPr>
                    <w:jc w:val="left"/>
                    <w:jc w:val="center"/>
                  </w:pPr>
                  <w:r>
                    <w:t xml:space="preserve">- Archive in trusted repositories (e.g., GBIF, FRDR, USGS).</w:t>
                  </w:r>
                </w:p>
                <w:p>
                  <w:pPr>
                    <w:jc w:val="left"/>
                    <w:jc w:val="center"/>
                  </w:pPr>
                  <w:r>
                    <w:t xml:space="preserve">- Write scripts in a programming language to wrangle, transform, and analyze data.</w:t>
                  </w:r>
                </w:p>
                <w:p>
                  <w:pPr>
                    <w:jc w:val="left"/>
                    <w:jc w:val="center"/>
                  </w:pPr>
                  <w:r>
                    <w:t xml:space="preserve">- Use GitHub to host code for collaboration and transparency and the GitHub / Zenodo integration for DOI assignment and preservation.</w:t>
                  </w:r>
                </w:p>
              </w:tc>
            </w:tr>
            <w:tr>
              <w:tc>
                <w:tcPr/>
                <w:p>
                  <w:pPr>
                    <w:pStyle w:val="Compact"/>
                    <w:jc w:val="lef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jc w:val="left"/>
                    <w:jc w:val="center"/>
                  </w:pPr>
                  <w:r>
                    <w:t xml:space="preserve">- License data with CC-BY 4.0.</w:t>
                  </w:r>
                </w:p>
                <w:p>
                  <w:pPr>
                    <w:jc w:val="left"/>
                    <w:jc w:val="center"/>
                  </w:pPr>
                  <w:r>
                    <w:t xml:space="preserve">- Include citation text and visible credit fields.</w:t>
                  </w:r>
                </w:p>
                <w:p>
                  <w:pPr>
                    <w:jc w:val="left"/>
                    <w:jc w:val="center"/>
                  </w:pPr>
                  <w:r>
                    <w:t xml:space="preserve">- Use COUNTER metrics and DataCite APIs to monitor reuse.</w:t>
                  </w:r>
                </w:p>
                <w:p>
                  <w:pPr>
                    <w:jc w:val="left"/>
                    <w:jc w:val="center"/>
                  </w:pPr>
                  <w:r>
                    <w:t xml:space="preserve">- Encourage dataset citation in references.</w:t>
                  </w:r>
                </w:p>
              </w:tc>
            </w:tr>
            <w:tr>
              <w:tc>
                <w:tcPr/>
                <w:p>
                  <w:pPr>
                    <w:pStyle w:val="Compact"/>
                    <w:jc w:val="lef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jc w:val="left"/>
                    <w:jc w:val="center"/>
                  </w:pPr>
                  <w:r>
                    <w:t xml:space="preserve">- Participate in RDA Salmon Interest Group.</w:t>
                  </w:r>
                </w:p>
                <w:p>
                  <w:pPr>
                    <w:jc w:val="left"/>
                    <w:jc w:val="center"/>
                  </w:pPr>
                  <w:r>
                    <w:t xml:space="preserve">- Facilitate workshops for metadata and vocabulary alignment.</w:t>
                  </w:r>
                </w:p>
                <w:p>
                  <w:pPr>
                    <w:jc w:val="left"/>
                    <w:jc w:val="center"/>
                  </w:pPr>
                  <w:r>
                    <w:t xml:space="preserve">- Support community-engaged research with tangible benefits.</w:t>
                  </w:r>
                </w:p>
              </w:tc>
            </w:tr>
          </w:tbl>
          <w:bookmarkEnd w:id="34"/>
          <w:p/>
        </w:tc>
      </w:tr>
    </w:tbl>
    <w:bookmarkEnd w:id="35"/>
    <w:bookmarkEnd w:id="36"/>
    <w:bookmarkStart w:id="81"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and Dorner 2012)</w:t>
      </w:r>
      <w:r>
        <w:t xml:space="preserve">. However, as noted by reports to the Cohen Commission</w:t>
      </w:r>
      <w:r>
        <w:t xml:space="preserve"> </w:t>
      </w:r>
      <w:r>
        <w:t xml:space="preserve">(Marmorek et al. 2011)</w:t>
      </w:r>
      <w:r>
        <w:t xml:space="preserve">, these data are often incomplete, inconsistently collected, and fragmented across institutions and jurisdictions. Integrating across such diverse sources can be done, but requires effort that is often not accounted for in smaller-scale studies. This fragmentation is a missed opportunity to deepen our understanding of the drivers of change across salmon life stages and regions, and limits the effectiveness of management decisions, particularly in the face of climate change and biodiversity loss.</w:t>
      </w:r>
    </w:p>
    <w:p>
      <w:pPr>
        <w:pStyle w:val="BodyText"/>
      </w:pPr>
      <w:r>
        <w:t xml:space="preserve">But this limitation also reveals an opportunity. By adopting shared best practices in data governance, metadata standardization, persistent identification, infrastructure reuse, and community co-development we can radically improve the transparency, reusability, and interoperability of salmon data. A coordinated, future-oriented data stewardship strategy can transform the role of salmon data in science and management. The case study presented in this paper—drawn from one of the Pacific Region’s most influential salmon survival syntheses</w:t>
      </w:r>
      <w:r>
        <w:t xml:space="preserve"> </w:t>
      </w:r>
      <w:r>
        <w:t xml:space="preserve">(Peterman and Dorner 2012)</w:t>
      </w:r>
      <w:r>
        <w:t xml:space="preserve">—illustrates how technical and social data management gaps directly obstructed efforts to answer pressing questions. If some of the best practices we propose had been adopted by the data producers—such as documenting their datasets more thoroughly, storing data in accessible formats, or using persistent identifiers—substantial time and resources could have been saved. The case offers a clear and cautionary tale, as well as a hopeful roadmap.</w:t>
      </w:r>
    </w:p>
    <w:p>
      <w:pPr>
        <w:pStyle w:val="BodyText"/>
      </w:pPr>
      <w:r>
        <w:t xml:space="preserve">The emergence of the data stewardship role</w:t>
      </w:r>
      <w:r>
        <w:t xml:space="preserve"> </w:t>
      </w:r>
      <w:r>
        <w:t xml:space="preserve">(Plotkin 2014)</w:t>
      </w:r>
      <w:r>
        <w:t xml:space="preserve"> </w:t>
      </w:r>
      <w:r>
        <w:t xml:space="preserve">represents one of the most critical institutional shifts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institutional commitments organizations should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institutional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labs, and community groups—can easily access and contribute to well-documented, versioned, and machine-readable datasets. In this future, field biologists, Indigenous guardians, modelers, and policymakers interact with a living knowledge system—one that is flexible, easy to implement, and rooted in principles of FAIRness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must not only train new data stewards but also support and upskill biologists to take on stewardship responsibilities in collaborative, interdisciplinary settings. This is essential to address the</w:t>
      </w:r>
      <w:r>
        <w:t xml:space="preserve"> </w:t>
      </w:r>
      <w:r>
        <w:t xml:space="preserve">“technical debt”</w:t>
      </w:r>
      <w:r>
        <w:t xml:space="preserve"> </w:t>
      </w:r>
      <w:r>
        <w:t xml:space="preserve">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bookmarkStart w:id="37" w:name="competing-interests"/>
    <w:p>
      <w:pPr>
        <w:pStyle w:val="Heading3"/>
      </w:pPr>
      <w:r>
        <w:t xml:space="preserve">Competing interests</w:t>
      </w:r>
    </w:p>
    <w:bookmarkEnd w:id="37"/>
    <w:bookmarkStart w:id="38" w:name="acknowledgements"/>
    <w:p>
      <w:pPr>
        <w:pStyle w:val="Heading3"/>
      </w:pPr>
      <w:r>
        <w:t xml:space="preserve">Acknowledgements</w:t>
      </w:r>
    </w:p>
    <w:bookmarkEnd w:id="38"/>
    <w:bookmarkStart w:id="80" w:name="references"/>
    <w:p>
      <w:pPr>
        <w:pStyle w:val="Heading3"/>
      </w:pPr>
      <w:r>
        <w:t xml:space="preserve">References</w:t>
      </w:r>
    </w:p>
    <w:bookmarkStart w:id="79" w:name="refs"/>
    <w:bookmarkStart w:id="40" w:name="ref-bull2022"/>
    <w:p>
      <w:pPr>
        <w:pStyle w:val="Bibliography"/>
      </w:pPr>
      <w:r>
        <w:t xml:space="preserve">Bull, C D, S D Gregory, E Rivot, T F Sheehan, D Ensing, G Woodward, and W Crozier. 2022.</w:t>
      </w:r>
      <w:r>
        <w:t xml:space="preserve"> </w:t>
      </w:r>
      <w:r>
        <w:t xml:space="preserve">“The Likely Suspects Framework: The Need for a Life Cycle Approach for Managing Atlantic Salmon (</w:t>
      </w:r>
      <w:r>
        <w:rPr>
          <w:i/>
          <w:iCs/>
        </w:rPr>
        <w:t xml:space="preserve">Salmo Salar</w:t>
      </w:r>
      <w:r>
        <w:t xml:space="preserve">) Stocks Across Multiple Scales.”</w:t>
      </w:r>
      <w:r>
        <w:t xml:space="preserve"> </w:t>
      </w:r>
      <w:r>
        <w:t xml:space="preserve">Edited by Wesley Flannery.</w:t>
      </w:r>
      <w:r>
        <w:t xml:space="preserve"> </w:t>
      </w:r>
      <w:r>
        <w:rPr>
          <w:i/>
          <w:iCs/>
        </w:rPr>
        <w:t xml:space="preserve">ICES Journal of Marine Science</w:t>
      </w:r>
      <w:r>
        <w:t xml:space="preserve"> </w:t>
      </w:r>
      <w:r>
        <w:t xml:space="preserve">79 (5): 1445–56.</w:t>
      </w:r>
      <w:r>
        <w:t xml:space="preserve"> </w:t>
      </w:r>
      <w:hyperlink r:id="rId39">
        <w:r>
          <w:rPr>
            <w:rStyle w:val="Hyperlink"/>
          </w:rPr>
          <w:t xml:space="preserve">https://doi.org/10.1093/icesjms/fsac099</w:t>
        </w:r>
      </w:hyperlink>
      <w:r>
        <w:t xml:space="preserve">.</w:t>
      </w:r>
    </w:p>
    <w:bookmarkEnd w:id="40"/>
    <w:bookmarkStart w:id="42" w:name="ref-carroll2019"/>
    <w:p>
      <w:pPr>
        <w:pStyle w:val="Bibliography"/>
      </w:pPr>
      <w:r>
        <w:t xml:space="preserve">Carroll, Stephanie Russo, Desi Rodriguez-Lonebear, and Andrew Martinez. 2019.</w:t>
      </w:r>
      <w:r>
        <w:t xml:space="preserve"> </w:t>
      </w:r>
      <w:r>
        <w:t xml:space="preserve">“Indigenous Data Governance: Strategies from United States Native Nations.”</w:t>
      </w:r>
      <w:r>
        <w:t xml:space="preserve"> </w:t>
      </w:r>
      <w:r>
        <w:rPr>
          <w:i/>
          <w:iCs/>
        </w:rPr>
        <w:t xml:space="preserve">Data Science Journal</w:t>
      </w:r>
      <w:r>
        <w:t xml:space="preserve"> </w:t>
      </w:r>
      <w:r>
        <w:t xml:space="preserve">18 (1): 31.</w:t>
      </w:r>
      <w:r>
        <w:t xml:space="preserve"> </w:t>
      </w:r>
      <w:hyperlink r:id="rId41">
        <w:r>
          <w:rPr>
            <w:rStyle w:val="Hyperlink"/>
          </w:rPr>
          <w:t xml:space="preserve">https://doi.org/10.5334/dsj-2019-031</w:t>
        </w:r>
      </w:hyperlink>
      <w:r>
        <w:t xml:space="preserve">.</w:t>
      </w:r>
    </w:p>
    <w:bookmarkEnd w:id="42"/>
    <w:bookmarkStart w:id="44" w:name="ref-diack2024"/>
    <w:p>
      <w:pPr>
        <w:pStyle w:val="Bibliography"/>
      </w:pPr>
      <w:r>
        <w:t xml:space="preserve">Diack, Graeme, Tom Bird, Scott Akenhead, Jennifer Bayer, Deirdre Brophy, Colin Bull, Elvira de Eyto, et al. 2024.</w:t>
      </w:r>
      <w:r>
        <w:t xml:space="preserve"> </w:t>
      </w:r>
      <w:r>
        <w:t xml:space="preserve">“Salmon Data Mobilization.”</w:t>
      </w:r>
      <w:r>
        <w:t xml:space="preserve"> </w:t>
      </w:r>
      <w:r>
        <w:rPr>
          <w:i/>
          <w:iCs/>
        </w:rPr>
        <w:t xml:space="preserve">North Pacific Anadromous Fish Commission Bulletin</w:t>
      </w:r>
      <w:r>
        <w:t xml:space="preserve">, December.</w:t>
      </w:r>
      <w:r>
        <w:t xml:space="preserve"> </w:t>
      </w:r>
      <w:hyperlink r:id="rId43">
        <w:r>
          <w:rPr>
            <w:rStyle w:val="Hyperlink"/>
          </w:rPr>
          <w:t xml:space="preserve">https://doi.org/10.23849/npafcb7/x3rlpo23a</w:t>
        </w:r>
      </w:hyperlink>
      <w:r>
        <w:t xml:space="preserve">.</w:t>
      </w:r>
    </w:p>
    <w:bookmarkEnd w:id="44"/>
    <w:bookmarkStart w:id="46" w:name="ref-eartheconomics2021"/>
    <w:p>
      <w:pPr>
        <w:pStyle w:val="Bibliography"/>
      </w:pPr>
      <w:r>
        <w:t xml:space="preserve">Earth Economics. 2021.</w:t>
      </w:r>
      <w:r>
        <w:t xml:space="preserve"> </w:t>
      </w:r>
      <w:r>
        <w:t xml:space="preserve">“The Sociocultural Significance of Pacific Salmon to Tribes and First Nations.”</w:t>
      </w:r>
      <w:r>
        <w:t xml:space="preserve"> </w:t>
      </w:r>
      <w:r>
        <w:t xml:space="preserve">Tacoma, Washington.</w:t>
      </w:r>
      <w:r>
        <w:t xml:space="preserve"> </w:t>
      </w:r>
      <w:hyperlink r:id="rId45">
        <w:r>
          <w:rPr>
            <w:rStyle w:val="Hyperlink"/>
          </w:rPr>
          <w:t xml:space="preserve">https://www.psc.org/wp-content/uploads/wpfd/preview_files/The-Sociocultural-Significance-of-Salmon-to-Tribes-and-First-Nations(5da9942da9fb4fe0d77eb32bd6165e43).pdf</w:t>
        </w:r>
      </w:hyperlink>
      <w:r>
        <w:t xml:space="preserve">.</w:t>
      </w:r>
    </w:p>
    <w:bookmarkEnd w:id="46"/>
    <w:bookmarkStart w:id="48" w:name="ref-groot1991"/>
    <w:p>
      <w:pPr>
        <w:pStyle w:val="Bibliography"/>
      </w:pPr>
      <w:r>
        <w:t xml:space="preserve">Groot, Cornelis, and L. Margolis. 1991.</w:t>
      </w:r>
      <w:r>
        <w:t xml:space="preserve"> </w:t>
      </w:r>
      <w:r>
        <w:rPr>
          <w:i/>
          <w:iCs/>
        </w:rPr>
        <w:t xml:space="preserve">Pacific Salmon Life Histories</w:t>
      </w:r>
      <w:r>
        <w:t xml:space="preserve">. UBC Press.</w:t>
      </w:r>
      <w:r>
        <w:t xml:space="preserve"> </w:t>
      </w:r>
      <w:hyperlink r:id="rId47">
        <w:r>
          <w:rPr>
            <w:rStyle w:val="Hyperlink"/>
          </w:rPr>
          <w:t xml:space="preserve">https://books.google.ca/books?id=I_S0xCME0CYC</w:t>
        </w:r>
      </w:hyperlink>
      <w:r>
        <w:t xml:space="preserve">.</w:t>
      </w:r>
    </w:p>
    <w:bookmarkEnd w:id="48"/>
    <w:bookmarkStart w:id="50" w:name="ref-inman2021"/>
    <w:p>
      <w:pPr>
        <w:pStyle w:val="Bibliography"/>
      </w:pPr>
      <w:r>
        <w:t xml:space="preserve">Inman, Sarah, Janessa Esquible, Michael Jones, William Bechtol, and Brendan Connors. 2021.</w:t>
      </w:r>
      <w:r>
        <w:t xml:space="preserve"> </w:t>
      </w:r>
      <w:r>
        <w:t xml:space="preserve">“Opportunities and Impediments for Use of Local Data in the Management of Salmon Fisheries.”</w:t>
      </w:r>
      <w:r>
        <w:t xml:space="preserve"> </w:t>
      </w:r>
      <w:r>
        <w:rPr>
          <w:i/>
          <w:iCs/>
        </w:rPr>
        <w:t xml:space="preserve">Ecology and Society</w:t>
      </w:r>
      <w:r>
        <w:t xml:space="preserve"> </w:t>
      </w:r>
      <w:r>
        <w:t xml:space="preserve">26 (2).</w:t>
      </w:r>
      <w:r>
        <w:t xml:space="preserve"> </w:t>
      </w:r>
      <w:hyperlink r:id="rId49">
        <w:r>
          <w:rPr>
            <w:rStyle w:val="Hyperlink"/>
          </w:rPr>
          <w:t xml:space="preserve">https://doi.org/10.5751/ES-12117-260226</w:t>
        </w:r>
      </w:hyperlink>
      <w:r>
        <w:t xml:space="preserve">.</w:t>
      </w:r>
    </w:p>
    <w:bookmarkEnd w:id="50"/>
    <w:bookmarkStart w:id="52" w:name="ref-jennings2023a"/>
    <w:p>
      <w:pPr>
        <w:pStyle w:val="Bibliography"/>
      </w:pPr>
      <w:r>
        <w:t xml:space="preserve">Jennings, Lydia, Talia Anderson, Andrew Martinez, Rogena Sterling, Dominique David Chavez, Ibrahim Garba, Maui Hudson, Nanibaa’ A. Garrison, and Stephanie Russo Carroll. 2023.</w:t>
      </w:r>
      <w:r>
        <w:t xml:space="preserve"> </w:t>
      </w:r>
      <w:r>
        <w:t xml:space="preserve">“Applying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 </w:t>
      </w:r>
      <w:r>
        <w:t xml:space="preserve">7 (10): 1547–51.</w:t>
      </w:r>
      <w:r>
        <w:t xml:space="preserve"> </w:t>
      </w:r>
      <w:hyperlink r:id="rId51">
        <w:r>
          <w:rPr>
            <w:rStyle w:val="Hyperlink"/>
          </w:rPr>
          <w:t xml:space="preserve">https://doi.org/10.1038/s41559-023-02161-2</w:t>
        </w:r>
      </w:hyperlink>
      <w:r>
        <w:t xml:space="preserve">.</w:t>
      </w:r>
    </w:p>
    <w:bookmarkEnd w:id="52"/>
    <w:bookmarkStart w:id="54" w:name="ref-johnson2024"/>
    <w:p>
      <w:pPr>
        <w:pStyle w:val="Bibliography"/>
      </w:pPr>
      <w:r>
        <w:t xml:space="preserve">Johnson, Brett, and Tim van der Stap. 2024.</w:t>
      </w:r>
      <w:r>
        <w:t xml:space="preserve"> </w:t>
      </w:r>
      <w:r>
        <w:t xml:space="preserve">“Data Mobilization Through the International Year of the Salmon Ocean Observing System.”</w:t>
      </w:r>
      <w:r>
        <w:t xml:space="preserve"> </w:t>
      </w:r>
      <w:r>
        <w:rPr>
          <w:i/>
          <w:iCs/>
        </w:rPr>
        <w:t xml:space="preserve">North Pacific Anadromous Fish Commission Bulletin</w:t>
      </w:r>
      <w:r>
        <w:t xml:space="preserve">, December.</w:t>
      </w:r>
      <w:r>
        <w:t xml:space="preserve"> </w:t>
      </w:r>
      <w:hyperlink r:id="rId53">
        <w:r>
          <w:rPr>
            <w:rStyle w:val="Hyperlink"/>
          </w:rPr>
          <w:t xml:space="preserve">https://doi.org/10.23849/npafcb7/6a4ddpde4</w:t>
        </w:r>
      </w:hyperlink>
      <w:r>
        <w:t xml:space="preserve">.</w:t>
      </w:r>
    </w:p>
    <w:bookmarkEnd w:id="54"/>
    <w:bookmarkStart w:id="56" w:name="ref-lindenmayer2012"/>
    <w:p>
      <w:pPr>
        <w:pStyle w:val="Bibliography"/>
      </w:pPr>
      <w:r>
        <w:t xml:space="preserve">LINDENMAYER, DAVID B., GENE E. LIKENS, ALAN ANDERSEN, DAVID BOWMAN, C. MICHAEL BULL, EMMA BURNS, CHRIS R. DICKMAN, et al. 2012.</w:t>
      </w:r>
      <w:r>
        <w:t xml:space="preserve"> </w:t>
      </w:r>
      <w:r>
        <w:t xml:space="preserve">“Value of Long</w:t>
      </w:r>
      <w:r>
        <w:t xml:space="preserve">-</w:t>
      </w:r>
      <w:r>
        <w:t xml:space="preserve">Term Ecological Studies.”</w:t>
      </w:r>
      <w:r>
        <w:t xml:space="preserve"> </w:t>
      </w:r>
      <w:r>
        <w:rPr>
          <w:i/>
          <w:iCs/>
        </w:rPr>
        <w:t xml:space="preserve">Austral Ecology</w:t>
      </w:r>
      <w:r>
        <w:t xml:space="preserve"> </w:t>
      </w:r>
      <w:r>
        <w:t xml:space="preserve">37 (7): 745–57.</w:t>
      </w:r>
      <w:r>
        <w:t xml:space="preserve"> </w:t>
      </w:r>
      <w:hyperlink r:id="rId55">
        <w:r>
          <w:rPr>
            <w:rStyle w:val="Hyperlink"/>
          </w:rPr>
          <w:t xml:space="preserve">https://doi.org/10.1111/j.1442-9993.2011.02351.x</w:t>
        </w:r>
      </w:hyperlink>
      <w:r>
        <w:t xml:space="preserve">.</w:t>
      </w:r>
    </w:p>
    <w:bookmarkEnd w:id="56"/>
    <w:bookmarkStart w:id="58" w:name="ref-marmorek2011"/>
    <w:p>
      <w:pPr>
        <w:pStyle w:val="Bibliography"/>
      </w:pPr>
      <w:r>
        <w:t xml:space="preserve">Marmorek, David, Darcy Pickard, Alexander Hall, Katherine Bryan, Liz Martell, Clint Alexander, Katherine Wieckowski, Lorne Greig, and Carl Schwarz. 2011.</w:t>
      </w:r>
      <w:r>
        <w:t xml:space="preserve"> </w:t>
      </w:r>
      <w:r>
        <w:t xml:space="preserve">“Cohen Commision Technical Report 6-Fraser River Sockeye Salmon: Data Synthesis and Cumulative Impacts.”</w:t>
      </w:r>
      <w:r>
        <w:t xml:space="preserve"> </w:t>
      </w:r>
      <w:r>
        <w:t xml:space="preserve">Vancouver, B.C.</w:t>
      </w:r>
      <w:r>
        <w:t xml:space="preserve"> </w:t>
      </w:r>
      <w:hyperlink r:id="rId57">
        <w:r>
          <w:rPr>
            <w:rStyle w:val="Hyperlink"/>
          </w:rPr>
          <w:t xml:space="preserve">http://www.cohencommission.ca/</w:t>
        </w:r>
      </w:hyperlink>
      <w:r>
        <w:t xml:space="preserve">.</w:t>
      </w:r>
    </w:p>
    <w:bookmarkEnd w:id="58"/>
    <w:bookmarkStart w:id="60"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59">
        <w:r>
          <w:rPr>
            <w:rStyle w:val="Hyperlink"/>
          </w:rPr>
          <w:t xml:space="preserve">https://doi.org/10.17226/12017</w:t>
        </w:r>
      </w:hyperlink>
      <w:r>
        <w:t xml:space="preserve">.</w:t>
      </w:r>
    </w:p>
    <w:bookmarkEnd w:id="60"/>
    <w:bookmarkStart w:id="62" w:name="ref-noaadatagovernancecommittee2024"/>
    <w:p>
      <w:pPr>
        <w:pStyle w:val="Bibliography"/>
      </w:pPr>
      <w:r>
        <w:t xml:space="preserve">NOAA Data Governance Committee. 2024.</w:t>
      </w:r>
      <w:r>
        <w:t xml:space="preserve"> </w:t>
      </w:r>
      <w:r>
        <w:t xml:space="preserve">“Management of NOAA Data and Information, Data Management Handbook,”</w:t>
      </w:r>
      <w:r>
        <w:t xml:space="preserve"> </w:t>
      </w:r>
      <w:r>
        <w:t xml:space="preserve">January.</w:t>
      </w:r>
      <w:r>
        <w:t xml:space="preserve"> </w:t>
      </w:r>
      <w:hyperlink r:id="rId61">
        <w:r>
          <w:rPr>
            <w:rStyle w:val="Hyperlink"/>
          </w:rPr>
          <w:t xml:space="preserve">https://www.noaa.gov/sites/default/files/2025-03/NAO_212-15B_-_Data_Management_Handbook.pdf</w:t>
        </w:r>
      </w:hyperlink>
      <w:r>
        <w:t xml:space="preserve">.</w:t>
      </w:r>
    </w:p>
    <w:bookmarkEnd w:id="62"/>
    <w:bookmarkStart w:id="64" w:name="ref-peng2018"/>
    <w:p>
      <w:pPr>
        <w:pStyle w:val="Bibliography"/>
      </w:pPr>
      <w:r>
        <w:t xml:space="preserve">Peng, Ge, Jeffrey L. Privette, Curt Tilmes, Sky Bristol, Tom Maycock, John J. Bates, Scott Hausman, Otis Brown, and Edward J. Kearns. 2018.</w:t>
      </w:r>
      <w:r>
        <w:t xml:space="preserve"> </w:t>
      </w:r>
      <w:r>
        <w:t xml:space="preserve">“A Conceptual Enterprise Framework for Managing Scientific Data Stewardship.”</w:t>
      </w:r>
      <w:r>
        <w:t xml:space="preserve"> </w:t>
      </w:r>
      <w:r>
        <w:rPr>
          <w:i/>
          <w:iCs/>
        </w:rPr>
        <w:t xml:space="preserve">Data Science Journal</w:t>
      </w:r>
      <w:r>
        <w:t xml:space="preserve"> </w:t>
      </w:r>
      <w:r>
        <w:t xml:space="preserve">17.</w:t>
      </w:r>
      <w:r>
        <w:t xml:space="preserve"> </w:t>
      </w:r>
      <w:hyperlink r:id="rId63">
        <w:r>
          <w:rPr>
            <w:rStyle w:val="Hyperlink"/>
          </w:rPr>
          <w:t xml:space="preserve">https://doi.org/10.5334/dsj-2018-015</w:t>
        </w:r>
      </w:hyperlink>
      <w:r>
        <w:t xml:space="preserve">.</w:t>
      </w:r>
    </w:p>
    <w:bookmarkEnd w:id="64"/>
    <w:bookmarkStart w:id="66" w:name="ref-peterman2012"/>
    <w:p>
      <w:pPr>
        <w:pStyle w:val="Bibliography"/>
      </w:pPr>
      <w:r>
        <w:t xml:space="preserve">Peterman, Randall M., and Brigitte Dorner. 2012.</w:t>
      </w:r>
      <w:r>
        <w:t xml:space="preserve"> </w:t>
      </w:r>
      <w:r>
        <w:t xml:space="preserve">“A Widespread Decrease in Productivity of Sockeye Salmon (</w:t>
      </w:r>
      <w:r>
        <w:rPr>
          <w:i/>
          <w:iCs/>
        </w:rPr>
        <w:t xml:space="preserve">Oncorhynchus Nerka</w:t>
      </w:r>
      <w:r>
        <w:t xml:space="preserve">) Populations in Western North America.”</w:t>
      </w:r>
      <w:r>
        <w:t xml:space="preserve"> </w:t>
      </w:r>
      <w:r>
        <w:t xml:space="preserve">Edited by Jordan S. Rosenfeld.</w:t>
      </w:r>
      <w:r>
        <w:t xml:space="preserve"> </w:t>
      </w:r>
      <w:r>
        <w:rPr>
          <w:i/>
          <w:iCs/>
        </w:rPr>
        <w:t xml:space="preserve">Canadian Journal of Fisheries and Aquatic Sciences</w:t>
      </w:r>
      <w:r>
        <w:t xml:space="preserve"> </w:t>
      </w:r>
      <w:r>
        <w:t xml:space="preserve">69 (8): 1255–60.</w:t>
      </w:r>
      <w:r>
        <w:t xml:space="preserve"> </w:t>
      </w:r>
      <w:hyperlink r:id="rId65">
        <w:r>
          <w:rPr>
            <w:rStyle w:val="Hyperlink"/>
          </w:rPr>
          <w:t xml:space="preserve">https://doi.org/10.1139/f2012-063</w:t>
        </w:r>
      </w:hyperlink>
      <w:r>
        <w:t xml:space="preserve">.</w:t>
      </w:r>
    </w:p>
    <w:bookmarkEnd w:id="66"/>
    <w:bookmarkStart w:id="68" w:name="ref-plotkin2014"/>
    <w:p>
      <w:pPr>
        <w:pStyle w:val="Bibliography"/>
      </w:pPr>
      <w:r>
        <w:t xml:space="preserve">Plotkin, David. 2014.</w:t>
      </w:r>
      <w:r>
        <w:t xml:space="preserve"> </w:t>
      </w:r>
      <w:r>
        <w:rPr>
          <w:i/>
          <w:iCs/>
        </w:rPr>
        <w:t xml:space="preserve">Data Stewardship</w:t>
      </w:r>
      <w:r>
        <w:t xml:space="preserve">. Elsevier.</w:t>
      </w:r>
      <w:r>
        <w:t xml:space="preserve"> </w:t>
      </w:r>
      <w:hyperlink r:id="rId67">
        <w:r>
          <w:rPr>
            <w:rStyle w:val="Hyperlink"/>
          </w:rPr>
          <w:t xml:space="preserve">https://doi.org/10.1016/c2012-0-07057-3</w:t>
        </w:r>
      </w:hyperlink>
      <w:r>
        <w:t xml:space="preserve">.</w:t>
      </w:r>
    </w:p>
    <w:bookmarkEnd w:id="68"/>
    <w:bookmarkStart w:id="70" w:name="ref-roche2020"/>
    <w:p>
      <w:pPr>
        <w:pStyle w:val="Bibliography"/>
      </w:pPr>
      <w:r>
        <w:t xml:space="preserve">Roche, Dominique G., Monica Granados, Claire C. Austin, Scott Wilson, Gregory M. Mitchell, Paul A. Smith, Steven J. Cooke, and Joseph R. Bennett. 2020.</w:t>
      </w:r>
      <w:r>
        <w:t xml:space="preserve"> </w:t>
      </w:r>
      <w:r>
        <w:t xml:space="preserve">“Open Government Data and Environmental Science: A Federal Canadian Perspective.”</w:t>
      </w:r>
      <w:r>
        <w:t xml:space="preserve"> </w:t>
      </w:r>
      <w:r>
        <w:t xml:space="preserve">Edited by Tanzy Love.</w:t>
      </w:r>
      <w:r>
        <w:t xml:space="preserve"> </w:t>
      </w:r>
      <w:r>
        <w:rPr>
          <w:i/>
          <w:iCs/>
        </w:rPr>
        <w:t xml:space="preserve">FACETS</w:t>
      </w:r>
      <w:r>
        <w:t xml:space="preserve"> </w:t>
      </w:r>
      <w:r>
        <w:t xml:space="preserve">5 (1): 942–62.</w:t>
      </w:r>
      <w:r>
        <w:t xml:space="preserve"> </w:t>
      </w:r>
      <w:hyperlink r:id="rId69">
        <w:r>
          <w:rPr>
            <w:rStyle w:val="Hyperlink"/>
          </w:rPr>
          <w:t xml:space="preserve">https://doi.org/10.1139/facets-2020-0008</w:t>
        </w:r>
      </w:hyperlink>
      <w:r>
        <w:t xml:space="preserve">.</w:t>
      </w:r>
    </w:p>
    <w:bookmarkEnd w:id="70"/>
    <w:bookmarkStart w:id="72" w:name="ref-volk2014"/>
    <w:p>
      <w:pPr>
        <w:pStyle w:val="Bibliography"/>
      </w:pPr>
      <w:r>
        <w:t xml:space="preserve">Volk, Carol J., Yasmin Lucero, and Katie Barnas. 2014.</w:t>
      </w:r>
      <w:r>
        <w:t xml:space="preserve"> </w:t>
      </w:r>
      <w:r>
        <w:t xml:space="preserve">“Why Is Data Sharing in Collaborative Natural Resource Efforts so Hard and What Can We Do to Improve It?”</w:t>
      </w:r>
      <w:r>
        <w:t xml:space="preserve"> </w:t>
      </w:r>
      <w:r>
        <w:rPr>
          <w:i/>
          <w:iCs/>
        </w:rPr>
        <w:t xml:space="preserve">Environmental Management</w:t>
      </w:r>
      <w:r>
        <w:t xml:space="preserve"> </w:t>
      </w:r>
      <w:r>
        <w:t xml:space="preserve">53 (5): 883–93.</w:t>
      </w:r>
      <w:r>
        <w:t xml:space="preserve"> </w:t>
      </w:r>
      <w:hyperlink r:id="rId71">
        <w:r>
          <w:rPr>
            <w:rStyle w:val="Hyperlink"/>
          </w:rPr>
          <w:t xml:space="preserve">https://doi.org/10.1007/s00267-014-0258-2</w:t>
        </w:r>
      </w:hyperlink>
      <w:r>
        <w:t xml:space="preserve">.</w:t>
      </w:r>
    </w:p>
    <w:bookmarkEnd w:id="72"/>
    <w:bookmarkStart w:id="74" w:name="ref-ward_surveyjoin_2025"/>
    <w:p>
      <w:pPr>
        <w:pStyle w:val="Bibliography"/>
      </w:pPr>
      <w:r>
        <w:t xml:space="preserve">Ward, Eric J, Philina A English, Christopher N Rooper, Bridget E Ferriss, Curt E Whitmire, Chantel R Wetzel, Lewis Ak Barnett, et al. 2025.</w:t>
      </w:r>
      <w:r>
        <w:t xml:space="preserve"> </w:t>
      </w:r>
      <w:r>
        <w:t xml:space="preserve">“‘Surveyjoin‘:</w:t>
      </w:r>
      <w:r>
        <w:t xml:space="preserve"> </w:t>
      </w:r>
      <w:r>
        <w:t xml:space="preserve">A</w:t>
      </w:r>
      <w:r>
        <w:t xml:space="preserve"> </w:t>
      </w:r>
      <w:r>
        <w:t xml:space="preserve">Standardized</w:t>
      </w:r>
      <w:r>
        <w:t xml:space="preserve"> </w:t>
      </w:r>
      <w:r>
        <w:t xml:space="preserve">Database</w:t>
      </w:r>
      <w:r>
        <w:t xml:space="preserve"> </w:t>
      </w:r>
      <w:r>
        <w:t xml:space="preserve">of</w:t>
      </w:r>
      <w:r>
        <w:t xml:space="preserve"> </w:t>
      </w:r>
      <w:r>
        <w:t xml:space="preserve">Fisheries</w:t>
      </w:r>
      <w:r>
        <w:t xml:space="preserve"> </w:t>
      </w:r>
      <w:r>
        <w:t xml:space="preserve">Bottom</w:t>
      </w:r>
      <w:r>
        <w:t xml:space="preserve"> </w:t>
      </w:r>
      <w:r>
        <w:t xml:space="preserve">Trawl</w:t>
      </w:r>
      <w:r>
        <w:t xml:space="preserve"> </w:t>
      </w:r>
      <w:r>
        <w:t xml:space="preserve">Surveys</w:t>
      </w:r>
      <w:r>
        <w:t xml:space="preserve"> </w:t>
      </w:r>
      <w:r>
        <w:t xml:space="preserve">in the</w:t>
      </w:r>
      <w:r>
        <w:t xml:space="preserve"> </w:t>
      </w:r>
      <w:r>
        <w:t xml:space="preserve">Northeast</w:t>
      </w:r>
      <w:r>
        <w:t xml:space="preserve"> </w:t>
      </w:r>
      <w:r>
        <w:t xml:space="preserve">Pacific</w:t>
      </w:r>
      <w:r>
        <w:t xml:space="preserve"> </w:t>
      </w:r>
      <w:r>
        <w:t xml:space="preserve">Ocean</w:t>
      </w:r>
      <w:r>
        <w:t xml:space="preserve">.”</w:t>
      </w:r>
      <w:r>
        <w:t xml:space="preserve"> </w:t>
      </w:r>
      <w:hyperlink r:id="rId73">
        <w:r>
          <w:rPr>
            <w:rStyle w:val="Hyperlink"/>
          </w:rPr>
          <w:t xml:space="preserve">https://doi.org/10.1101/2025.03.14.643022</w:t>
        </w:r>
      </w:hyperlink>
      <w:r>
        <w:t xml:space="preserve">.</w:t>
      </w:r>
    </w:p>
    <w:bookmarkEnd w:id="74"/>
    <w:bookmarkStart w:id="76" w:name="ref-ween2013"/>
    <w:p>
      <w:pPr>
        <w:pStyle w:val="Bibliography"/>
      </w:pPr>
      <w:r>
        <w:t xml:space="preserve">Ween, Gro, and Benedict Colombi. 2013.</w:t>
      </w:r>
      <w:r>
        <w:t xml:space="preserve"> </w:t>
      </w:r>
      <w:r>
        <w:t xml:space="preserve">“Two Rivers: The Politics of Wild Salmon, Indigenous Rights and Natural Resource Management.”</w:t>
      </w:r>
      <w:r>
        <w:t xml:space="preserve"> </w:t>
      </w:r>
      <w:r>
        <w:rPr>
          <w:i/>
          <w:iCs/>
        </w:rPr>
        <w:t xml:space="preserve">Sustainability</w:t>
      </w:r>
      <w:r>
        <w:t xml:space="preserve"> </w:t>
      </w:r>
      <w:r>
        <w:t xml:space="preserve">5 (2): 478–95.</w:t>
      </w:r>
      <w:r>
        <w:t xml:space="preserve"> </w:t>
      </w:r>
      <w:hyperlink r:id="rId75">
        <w:r>
          <w:rPr>
            <w:rStyle w:val="Hyperlink"/>
          </w:rPr>
          <w:t xml:space="preserve">https://doi.org/10.3390/su5020478</w:t>
        </w:r>
      </w:hyperlink>
      <w:r>
        <w:t xml:space="preserve">.</w:t>
      </w:r>
    </w:p>
    <w:bookmarkEnd w:id="76"/>
    <w:bookmarkStart w:id="78"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77">
        <w:r>
          <w:rPr>
            <w:rStyle w:val="Hyperlink"/>
          </w:rPr>
          <w:t xml:space="preserve">https://doi.org/10.1038/sdata.2016.18</w:t>
        </w:r>
      </w:hyperlink>
      <w:r>
        <w:t xml:space="preserve">.</w:t>
      </w:r>
    </w:p>
    <w:bookmarkEnd w:id="78"/>
    <w:bookmarkEnd w:id="79"/>
    <w:bookmarkEnd w:id="80"/>
    <w:bookmarkEnd w:id="81"/>
    <w:bookmarkStart w:id="82" w:name="appendices"/>
    <w:p>
      <w:pPr>
        <w:pStyle w:val="Heading1"/>
      </w:pPr>
      <w:r>
        <w:t xml:space="preserve">Appendices</w:t>
      </w:r>
    </w:p>
    <w:bookmarkEnd w:id="82"/>
    <w:bookmarkStart w:id="120" w:name="section"/>
    <w:p>
      <w:pPr>
        <w:pStyle w:val="Heading1"/>
      </w:pPr>
    </w:p>
    <w:bookmarkStart w:id="119"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88"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facilitates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87"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6"/>
        </w:numPr>
      </w:pPr>
      <w:hyperlink r:id="rId83">
        <w:r>
          <w:rPr>
            <w:rStyle w:val="Hyperlink"/>
          </w:rPr>
          <w:t xml:space="preserve">Example of a Data Management Plan from the California Department of Water Resources</w:t>
        </w:r>
      </w:hyperlink>
    </w:p>
    <w:p>
      <w:pPr>
        <w:numPr>
          <w:ilvl w:val="0"/>
          <w:numId w:val="1006"/>
        </w:numPr>
      </w:pPr>
      <w:r>
        <w:t xml:space="preserve">Data Management Plan Templates from</w:t>
      </w:r>
      <w:r>
        <w:t xml:space="preserve"> </w:t>
      </w:r>
      <w:hyperlink r:id="rId84">
        <w:r>
          <w:rPr>
            <w:rStyle w:val="Hyperlink"/>
          </w:rPr>
          <w:t xml:space="preserve">DMPTool</w:t>
        </w:r>
      </w:hyperlink>
      <w:r>
        <w:t xml:space="preserve">, and</w:t>
      </w:r>
      <w:r>
        <w:t xml:space="preserve"> </w:t>
      </w:r>
      <w:hyperlink r:id="rId61">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7"/>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85">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8"/>
        </w:numPr>
      </w:pPr>
      <w:r>
        <w:t xml:space="preserve">Pacific Salmon Commission has formed a Technical Committee on Data Sharing including both US and Canadian data contributors.</w:t>
      </w:r>
      <w:r>
        <w:t xml:space="preserve"> </w:t>
      </w:r>
      <w:hyperlink r:id="rId86">
        <w:r>
          <w:rPr>
            <w:rStyle w:val="Hyperlink"/>
          </w:rPr>
          <w:t xml:space="preserve">https://www.psc.org/membership-lists/</w:t>
        </w:r>
      </w:hyperlink>
    </w:p>
    <w:bookmarkEnd w:id="87"/>
    <w:bookmarkEnd w:id="88"/>
    <w:bookmarkStart w:id="91"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90" w:name="practical-applications-1"/>
    <w:p>
      <w:pPr>
        <w:pStyle w:val="Heading5"/>
      </w:pPr>
      <w:r>
        <w:t xml:space="preserve">Practical Applications:</w:t>
      </w:r>
    </w:p>
    <w:p>
      <w:pPr>
        <w:pStyle w:val="FirstParagraph"/>
      </w:pPr>
      <w:r>
        <w:t xml:space="preserve">2.1</w:t>
      </w:r>
      <w:r>
        <w:t xml:space="preserve"> </w:t>
      </w:r>
      <w:hyperlink r:id="rId89">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bookmarkEnd w:id="90"/>
    <w:bookmarkEnd w:id="91"/>
    <w:bookmarkStart w:id="97"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96" w:name="practical-applications-2"/>
    <w:p>
      <w:pPr>
        <w:pStyle w:val="Heading5"/>
      </w:pPr>
      <w:r>
        <w:t xml:space="preserve">Practical Applications:</w:t>
      </w:r>
    </w:p>
    <w:p>
      <w:pPr>
        <w:pStyle w:val="FirstParagraph"/>
      </w:pPr>
      <w:r>
        <w:t xml:space="preserve">3.1 Encourage researchers to register for an</w:t>
      </w:r>
      <w:r>
        <w:t xml:space="preserve"> </w:t>
      </w:r>
      <w:hyperlink r:id="rId92">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09"/>
        </w:numPr>
      </w:pPr>
      <w:r>
        <w:t xml:space="preserve">Several salmon data holding institutions are already</w:t>
      </w:r>
      <w:r>
        <w:t xml:space="preserve"> </w:t>
      </w:r>
      <w:hyperlink r:id="rId93">
        <w:r>
          <w:rPr>
            <w:rStyle w:val="Hyperlink"/>
          </w:rPr>
          <w:t xml:space="preserve">registered with ROR</w:t>
        </w:r>
      </w:hyperlink>
      <w:r>
        <w:t xml:space="preserve">. As a result, those organizations can track and demonstrate their scholarly impact from data publications:</w:t>
      </w:r>
      <w:r>
        <w:t xml:space="preserve"> </w:t>
      </w:r>
      <w:hyperlink r:id="rId94">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0"/>
        </w:numPr>
      </w:pPr>
      <w:r>
        <w:t xml:space="preserve">The North Pacific Anadromous FIsh Commission (NPAFC) assigns DOIs to IYS-related data packages which are served by a CKAN catalogue at</w:t>
      </w:r>
      <w:r>
        <w:t xml:space="preserve"> </w:t>
      </w:r>
      <w:hyperlink r:id="rId95">
        <w:r>
          <w:rPr>
            <w:rStyle w:val="Hyperlink"/>
          </w:rPr>
          <w:t xml:space="preserve">https://data.npafc.org</w:t>
        </w:r>
      </w:hyperlink>
      <w:r>
        <w:t xml:space="preserve">. The Commission also assigns DOIs to NPAFC Technical Reports and Bulletins.</w:t>
      </w:r>
    </w:p>
    <w:p>
      <w:pPr>
        <w:pStyle w:val="FirstParagraph"/>
      </w:pPr>
      <w:r>
        <w:t xml:space="preserve">3.4 Embed DOIs in dashboards, figures, and metadata so they persist in derivative products.</w:t>
      </w:r>
    </w:p>
    <w:bookmarkEnd w:id="96"/>
    <w:bookmarkEnd w:id="97"/>
    <w:bookmarkStart w:id="104"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03"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1"/>
        </w:numPr>
      </w:pPr>
      <w:r>
        <w:t xml:space="preserve">The Pacific Salmon Foundation’s data portal asks contributors to provide metadata in ISO 19115 or other standard formats.</w:t>
      </w:r>
      <w:r>
        <w:t xml:space="preserve"> </w:t>
      </w:r>
      <w:r>
        <w:t xml:space="preserve">marinedata.psf.ca</w:t>
      </w:r>
      <w:r>
        <w:t xml:space="preserve">, ensuring consistent metadata structure</w:t>
      </w:r>
    </w:p>
    <w:p>
      <w:pPr>
        <w:pStyle w:val="Compact"/>
        <w:numPr>
          <w:ilvl w:val="0"/>
          <w:numId w:val="1011"/>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98">
        <w:r>
          <w:rPr>
            <w:rStyle w:val="Hyperlink"/>
          </w:rPr>
          <w:t xml:space="preserve">Darwin Core Standard</w:t>
        </w:r>
      </w:hyperlink>
    </w:p>
    <w:p>
      <w:pPr>
        <w:numPr>
          <w:ilvl w:val="0"/>
          <w:numId w:val="1012"/>
        </w:numPr>
      </w:pPr>
      <w:r>
        <w:t xml:space="preserve">The Hakai Institute Juvenile Salmon Program publishes their data to OBIS using Darwin Core:</w:t>
      </w:r>
      <w:r>
        <w:t xml:space="preserve"> </w:t>
      </w:r>
      <w:hyperlink r:id="rId99">
        <w:r>
          <w:rPr>
            <w:rStyle w:val="Hyperlink"/>
          </w:rPr>
          <w:t xml:space="preserve">Hakai Institute Juvenile Salmon Program</w:t>
        </w:r>
      </w:hyperlink>
    </w:p>
    <w:p>
      <w:pPr>
        <w:numPr>
          <w:ilvl w:val="0"/>
          <w:numId w:val="1012"/>
        </w:numPr>
      </w:pPr>
      <w:r>
        <w:t xml:space="preserve">The International Year of the Salmon High Seas Expeditions data mobilization efforts [</w:t>
      </w:r>
      <w:r>
        <w:t xml:space="preserve">Johnson and Stap (2024)</w:t>
      </w:r>
      <w:r>
        <w:t xml:space="preserve">] published their data to OBIS:</w:t>
      </w:r>
      <w:r>
        <w:t xml:space="preserve"> </w:t>
      </w:r>
      <w:hyperlink r:id="rId100">
        <w:r>
          <w:rPr>
            <w:rStyle w:val="Hyperlink"/>
          </w:rPr>
          <w:t xml:space="preserve">https://www.gbif.org/dataset/search?project_id=IYS</w:t>
        </w:r>
      </w:hyperlink>
    </w:p>
    <w:p>
      <w:pPr>
        <w:pStyle w:val="FirstParagraph"/>
      </w:pPr>
      <w:r>
        <w:t xml:space="preserve">4.3 Re-use or publish data terms that are shared online using a persistent identifier in a controlled vocabulary or ontology</w:t>
      </w:r>
    </w:p>
    <w:p>
      <w:pPr>
        <w:numPr>
          <w:ilvl w:val="0"/>
          <w:numId w:val="1013"/>
        </w:numPr>
      </w:pPr>
      <w:r>
        <w:t xml:space="preserve">DFO Salmon Ontology…</w:t>
      </w:r>
    </w:p>
    <w:p>
      <w:pPr>
        <w:numPr>
          <w:ilvl w:val="0"/>
          <w:numId w:val="1013"/>
        </w:numPr>
      </w:pPr>
      <w:r>
        <w:t xml:space="preserve">State of Alaska Salmon and People…</w:t>
      </w:r>
    </w:p>
    <w:p>
      <w:pPr>
        <w:numPr>
          <w:ilvl w:val="0"/>
          <w:numId w:val="1013"/>
        </w:numPr>
      </w:pPr>
      <w:r>
        <w:t xml:space="preserve">Measurement Types in OBIS…</w:t>
      </w:r>
    </w:p>
    <w:p>
      <w:pPr>
        <w:numPr>
          <w:ilvl w:val="0"/>
          <w:numId w:val="1013"/>
        </w:numPr>
      </w:pPr>
      <w:r>
        <w:t xml:space="preserve">WDFW has definitions of all hatchery escapement data.</w:t>
      </w:r>
      <w:r>
        <w:t xml:space="preserve"> </w:t>
      </w:r>
      <w:hyperlink r:id="rId101">
        <w:r>
          <w:rPr>
            <w:rStyle w:val="Hyperlink"/>
          </w:rPr>
          <w:t xml:space="preserve">Hatchery escapement reports | Washington Department of Fish &amp; Wildlife</w:t>
        </w:r>
      </w:hyperlink>
    </w:p>
    <w:p>
      <w:pPr>
        <w:numPr>
          <w:ilvl w:val="0"/>
          <w:numId w:val="1013"/>
        </w:numPr>
      </w:pPr>
      <w:r>
        <w:t xml:space="preserve">Fish Passage Counts has defined metadata that can be used across OFDW and WDFW.</w:t>
      </w:r>
      <w:r>
        <w:t xml:space="preserve"> </w:t>
      </w:r>
      <w:hyperlink r:id="rId102">
        <w:r>
          <w:rPr>
            <w:rStyle w:val="Hyperlink"/>
          </w:rPr>
          <w:t xml:space="preserve">https://www.fpc.org/111_sharedfiles/ColumbiaRiverBasinAdultFishPassageCountsMetadata.pdf</w:t>
        </w:r>
      </w:hyperlink>
    </w:p>
    <w:bookmarkEnd w:id="103"/>
    <w:bookmarkEnd w:id="104"/>
    <w:bookmarkStart w:id="108"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seamless integration with tools and applications. Ensuring accessible, persistent data storage requires more than just file hosting. Data should be structured, accessible via API, and stored in repositories that support long-term preservation.</w:t>
      </w:r>
    </w:p>
    <w:bookmarkStart w:id="107" w:name="practical-applications-4"/>
    <w:p>
      <w:pPr>
        <w:pStyle w:val="Heading5"/>
      </w:pPr>
      <w:r>
        <w:t xml:space="preserve">Practical Applications:</w:t>
      </w:r>
    </w:p>
    <w:p>
      <w:pPr>
        <w:pStyle w:val="FirstParagraph"/>
      </w:pPr>
      <w:r>
        <w:t xml:space="preserve">5.1 Provide Direct Data Access via Application Programming Interfaces (APIs) using tools such as FastAPI, Flask, or Django REST Framework that allows users to access, filter, and retrieve data programmatically, facilitating automation and integration into analytical tools and decision-support systems</w:t>
      </w:r>
    </w:p>
    <w:p>
      <w:pPr>
        <w:pStyle w:val="Compact"/>
        <w:numPr>
          <w:ilvl w:val="0"/>
          <w:numId w:val="1014"/>
        </w:numPr>
      </w:pPr>
      <w:r>
        <w:t xml:space="preserve">The Pacific States Marine Fisheries Commission make’s their</w:t>
      </w:r>
      <w:r>
        <w:t xml:space="preserve"> </w:t>
      </w:r>
      <w:hyperlink r:id="rId105">
        <w:r>
          <w:rPr>
            <w:rStyle w:val="Hyperlink"/>
          </w:rPr>
          <w:t xml:space="preserve">PIT Tag Information System</w:t>
        </w:r>
      </w:hyperlink>
      <w:r>
        <w:t xml:space="preserve"> </w:t>
      </w:r>
      <w:r>
        <w:t xml:space="preserve">data accessible via the</w:t>
      </w:r>
      <w:r>
        <w:t xml:space="preserve"> </w:t>
      </w:r>
      <w:hyperlink r:id="rId106">
        <w:r>
          <w:rPr>
            <w:rStyle w:val="Hyperlink"/>
          </w:rPr>
          <w:t xml:space="preserve">PTAGIS API</w:t>
        </w:r>
      </w:hyperlink>
    </w:p>
    <w:p>
      <w:pPr>
        <w:pStyle w:val="FirstParagraph"/>
      </w:pPr>
      <w:r>
        <w:t xml:space="preserve">5.2 Archive data in certified long-term, domain-specific repositories such as the Global Biodiversity Information Facility, the Federated Research Data Repository (FRDR), or NOAA’s NCEI, USGS ScienceBase, or EMODnet</w:t>
      </w:r>
    </w:p>
    <w:p>
      <w:pPr>
        <w:pStyle w:val="Compact"/>
        <w:numPr>
          <w:ilvl w:val="0"/>
          <w:numId w:val="1015"/>
        </w:numPr>
      </w:pPr>
      <w:r>
        <w:t xml:space="preserve">TODO</w:t>
      </w:r>
    </w:p>
    <w:p>
      <w:pPr>
        <w:pStyle w:val="FirstParagraph"/>
      </w:pPr>
      <w:r>
        <w:t xml:space="preserve">5.3 Leverage the integration between GitHub and Zenodo to automate archiving and DOI assignment, ensuring long-term data preservation.</w:t>
      </w:r>
    </w:p>
    <w:bookmarkEnd w:id="107"/>
    <w:bookmarkEnd w:id="108"/>
    <w:bookmarkStart w:id="112"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11"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6"/>
        </w:numPr>
      </w:pPr>
      <w:r>
        <w:t xml:space="preserve">All data accessible through the</w:t>
      </w:r>
      <w:r>
        <w:t xml:space="preserve"> </w:t>
      </w:r>
      <w:hyperlink r:id="rId95">
        <w:r>
          <w:rPr>
            <w:rStyle w:val="Hyperlink"/>
          </w:rPr>
          <w:t xml:space="preserve">NPAFC data catalogue</w:t>
        </w:r>
      </w:hyperlink>
      <w:r>
        <w:t xml:space="preserve"> </w:t>
      </w:r>
      <w:r>
        <w:t xml:space="preserve">is licenced as </w:t>
      </w:r>
      <w:r>
        <w:t xml:space="preserve"> </w:t>
      </w:r>
      <w:hyperlink r:id="rId109">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BodyText"/>
      </w:pPr>
      <w:r>
        <w:t xml:space="preserve">6.3 Create summary dashboards that highlight reuse using</w:t>
      </w:r>
      <w:r>
        <w:t xml:space="preserve"> </w:t>
      </w:r>
      <w:hyperlink r:id="rId110">
        <w:r>
          <w:rPr>
            <w:rStyle w:val="Hyperlink"/>
          </w:rPr>
          <w:t xml:space="preserve">COUNTER Code of Practice compliant metrics</w:t>
        </w:r>
      </w:hyperlink>
      <w:r>
        <w:t xml:space="preserve"> </w:t>
      </w:r>
      <w:r>
        <w:t xml:space="preserve">to track dataset views/downloads and the DataCite APIs</w:t>
      </w:r>
    </w:p>
    <w:p>
      <w:pPr>
        <w:pStyle w:val="BodyText"/>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17"/>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FirstParagraph"/>
      </w:pPr>
      <w:r>
        <w:t xml:space="preserve">6.5 Promote the view that well documented data publications are primary research outputs and are significant contributions to the field</w:t>
      </w:r>
    </w:p>
    <w:bookmarkEnd w:id="111"/>
    <w:bookmarkEnd w:id="112"/>
    <w:bookmarkStart w:id="118"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 (citation required) to be effective. Engaging biologists, Indigenous stewards, and data managers ensures relevance, usability, and long-term participation.</w:t>
      </w:r>
    </w:p>
    <w:bookmarkStart w:id="117"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13">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18"/>
        </w:numPr>
      </w:pPr>
      <w:r>
        <w:t xml:space="preserve">American Fisheries Society 2025 WA-BC Chapter Annual Meeting workshop.</w:t>
      </w:r>
      <w:r>
        <w:t xml:space="preserve"> </w:t>
      </w:r>
      <w:hyperlink r:id="rId114">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15">
        <w:r>
          <w:rPr>
            <w:rStyle w:val="Hyperlink"/>
          </w:rPr>
          <w:t xml:space="preserve">The Salmon Prize Project</w:t>
        </w:r>
      </w:hyperlink>
      <w:r>
        <w:t xml:space="preserve">) that provides tangible value to the communities in which research or monitoring was conducted.</w:t>
      </w:r>
    </w:p>
    <w:p>
      <w:pPr>
        <w:pStyle w:val="BodyText"/>
      </w:pPr>
      <w:r>
        <w:rPr>
          <w:vertAlign w:val="subscript"/>
        </w:rPr>
        <w:t xml:space="preserve">Source:</w:t>
      </w:r>
      <w:r>
        <w:rPr>
          <w:vertAlign w:val="subscript"/>
        </w:rPr>
        <w:t xml:space="preserve"> </w:t>
      </w:r>
      <w:hyperlink r:id="rId116">
        <w:r>
          <w:rPr>
            <w:rStyle w:val="Hyperlink"/>
            <w:vertAlign w:val="subscript"/>
          </w:rPr>
          <w:t xml:space="preserve">Appendix 1. Real-world Example Applications of the Best Practices</w:t>
        </w:r>
      </w:hyperlink>
    </w:p>
    <w:bookmarkEnd w:id="117"/>
    <w:bookmarkEnd w:id="118"/>
    <w:bookmarkEnd w:id="119"/>
    <w:bookmarkEnd w:id="120"/>
    <w:bookmarkStart w:id="159" w:name="section-1"/>
    <w:p>
      <w:pPr>
        <w:pStyle w:val="Heading1"/>
      </w:pPr>
    </w:p>
    <w:bookmarkStart w:id="158" w:name="X72334aa2b46cbae0fcc225c1bed7c6259b69b82"/>
    <w:p>
      <w:pPr>
        <w:pStyle w:val="Heading2"/>
      </w:pPr>
      <w:r>
        <w:t xml:space="preserve">Appendix: Training Roadmap for Salmon Biologists Transitioning to Data Stewardship</w:t>
      </w:r>
    </w:p>
    <w:p>
      <w:pPr>
        <w:pStyle w:val="FirstParagraph"/>
      </w:pPr>
      <w:r>
        <w:t xml:space="preserve">This roadmap outlines essential topics, resources, and learning materials salmon biologists should engage with to effectively transition into data stewardship roles. The roadmap follows a structured progression similar to</w:t>
      </w:r>
      <w:r>
        <w:t xml:space="preserve"> </w:t>
      </w:r>
      <w:hyperlink r:id="rId121">
        <w:r>
          <w:rPr>
            <w:rStyle w:val="Hyperlink"/>
          </w:rPr>
          <w:t xml:space="preserve">roadmap.sh</w:t>
        </w:r>
      </w:hyperlink>
      <w:r>
        <w:t xml:space="preserve">.</w:t>
      </w:r>
    </w:p>
    <w:bookmarkStart w:id="125" w:name="foundations-of-data-stewardship"/>
    <w:p>
      <w:pPr>
        <w:pStyle w:val="Heading3"/>
      </w:pPr>
      <w:r>
        <w:t xml:space="preserve">1. Foundations of Data Stewardship</w:t>
      </w:r>
    </w:p>
    <w:p>
      <w:pPr>
        <w:pStyle w:val="Compact"/>
        <w:numPr>
          <w:ilvl w:val="0"/>
          <w:numId w:val="1019"/>
        </w:numPr>
      </w:pPr>
      <w:r>
        <w:rPr>
          <w:b/>
          <w:bCs/>
        </w:rPr>
        <w:t xml:space="preserve">Principles:</w:t>
      </w:r>
    </w:p>
    <w:p>
      <w:pPr>
        <w:pStyle w:val="Compact"/>
        <w:numPr>
          <w:ilvl w:val="1"/>
          <w:numId w:val="1020"/>
        </w:numPr>
      </w:pPr>
      <w:hyperlink r:id="rId122">
        <w:r>
          <w:rPr>
            <w:rStyle w:val="Hyperlink"/>
          </w:rPr>
          <w:t xml:space="preserve">FAIR Data Principles</w:t>
        </w:r>
      </w:hyperlink>
    </w:p>
    <w:p>
      <w:pPr>
        <w:pStyle w:val="Compact"/>
        <w:numPr>
          <w:ilvl w:val="1"/>
          <w:numId w:val="1020"/>
        </w:numPr>
      </w:pPr>
      <w:hyperlink r:id="rId123">
        <w:r>
          <w:rPr>
            <w:rStyle w:val="Hyperlink"/>
          </w:rPr>
          <w:t xml:space="preserve">CARE Principles for Indigenous Data Governance</w:t>
        </w:r>
      </w:hyperlink>
    </w:p>
    <w:p>
      <w:pPr>
        <w:pStyle w:val="Compact"/>
        <w:numPr>
          <w:ilvl w:val="0"/>
          <w:numId w:val="1019"/>
        </w:numPr>
      </w:pPr>
      <w:r>
        <w:rPr>
          <w:b/>
          <w:bCs/>
        </w:rPr>
        <w:t xml:space="preserve">Seminal Papers:</w:t>
      </w:r>
    </w:p>
    <w:p>
      <w:pPr>
        <w:pStyle w:val="Compact"/>
        <w:numPr>
          <w:ilvl w:val="1"/>
          <w:numId w:val="1021"/>
        </w:numPr>
      </w:pPr>
      <w:r>
        <w:t xml:space="preserve">Wilkinson et al. 2016</w:t>
      </w:r>
      <w:r>
        <w:t xml:space="preserve"> </w:t>
      </w:r>
      <w:hyperlink r:id="rId77">
        <w:r>
          <w:rPr>
            <w:rStyle w:val="Hyperlink"/>
          </w:rPr>
          <w:t xml:space="preserve">FAIR Guiding Principles</w:t>
        </w:r>
      </w:hyperlink>
    </w:p>
    <w:p>
      <w:pPr>
        <w:pStyle w:val="Compact"/>
        <w:numPr>
          <w:ilvl w:val="1"/>
          <w:numId w:val="1021"/>
        </w:numPr>
      </w:pPr>
      <w:r>
        <w:t xml:space="preserve">Carroll et al. 2019</w:t>
      </w:r>
      <w:r>
        <w:t xml:space="preserve"> </w:t>
      </w:r>
      <w:hyperlink r:id="rId41">
        <w:r>
          <w:rPr>
            <w:rStyle w:val="Hyperlink"/>
          </w:rPr>
          <w:t xml:space="preserve">Indigenous Data Governance</w:t>
        </w:r>
      </w:hyperlink>
    </w:p>
    <w:p>
      <w:pPr>
        <w:pStyle w:val="Compact"/>
        <w:numPr>
          <w:ilvl w:val="0"/>
          <w:numId w:val="1019"/>
        </w:numPr>
      </w:pPr>
      <w:r>
        <w:rPr>
          <w:b/>
          <w:bCs/>
        </w:rPr>
        <w:t xml:space="preserve">Courses and Tutorials:</w:t>
      </w:r>
    </w:p>
    <w:p>
      <w:pPr>
        <w:pStyle w:val="Compact"/>
        <w:numPr>
          <w:ilvl w:val="1"/>
          <w:numId w:val="1022"/>
        </w:numPr>
      </w:pPr>
      <w:hyperlink r:id="rId124">
        <w:r>
          <w:rPr>
            <w:rStyle w:val="Hyperlink"/>
          </w:rPr>
          <w:t xml:space="preserve">FAIR Principles Explained (GO-FAIR)</w:t>
        </w:r>
      </w:hyperlink>
    </w:p>
    <w:bookmarkEnd w:id="125"/>
    <w:bookmarkStart w:id="128" w:name="data-management-governance"/>
    <w:p>
      <w:pPr>
        <w:pStyle w:val="Heading3"/>
      </w:pPr>
      <w:r>
        <w:t xml:space="preserve">2. Data Management &amp; Governance</w:t>
      </w:r>
    </w:p>
    <w:p>
      <w:pPr>
        <w:pStyle w:val="Compact"/>
        <w:numPr>
          <w:ilvl w:val="0"/>
          <w:numId w:val="1023"/>
        </w:numPr>
      </w:pPr>
      <w:r>
        <w:rPr>
          <w:b/>
          <w:bCs/>
        </w:rPr>
        <w:t xml:space="preserve">Seminal Papers and Reports:</w:t>
      </w:r>
    </w:p>
    <w:p>
      <w:pPr>
        <w:pStyle w:val="Compact"/>
        <w:numPr>
          <w:ilvl w:val="1"/>
          <w:numId w:val="1024"/>
        </w:numPr>
      </w:pPr>
      <w:r>
        <w:t xml:space="preserve">Plotkin, 2014</w:t>
      </w:r>
      <w:r>
        <w:t xml:space="preserve"> </w:t>
      </w:r>
      <w:hyperlink r:id="rId67">
        <w:r>
          <w:rPr>
            <w:rStyle w:val="Hyperlink"/>
          </w:rPr>
          <w:t xml:space="preserve">Data Stewardship</w:t>
        </w:r>
      </w:hyperlink>
    </w:p>
    <w:p>
      <w:pPr>
        <w:pStyle w:val="Compact"/>
        <w:numPr>
          <w:ilvl w:val="1"/>
          <w:numId w:val="1024"/>
        </w:numPr>
      </w:pPr>
      <w:r>
        <w:t xml:space="preserve">NOAA, 2007</w:t>
      </w:r>
      <w:r>
        <w:t xml:space="preserve"> </w:t>
      </w:r>
      <w:hyperlink r:id="rId59">
        <w:r>
          <w:rPr>
            <w:rStyle w:val="Hyperlink"/>
          </w:rPr>
          <w:t xml:space="preserve">Environmental Data Management</w:t>
        </w:r>
      </w:hyperlink>
    </w:p>
    <w:p>
      <w:pPr>
        <w:pStyle w:val="Compact"/>
        <w:numPr>
          <w:ilvl w:val="0"/>
          <w:numId w:val="1023"/>
        </w:numPr>
      </w:pPr>
      <w:r>
        <w:rPr>
          <w:b/>
          <w:bCs/>
        </w:rPr>
        <w:t xml:space="preserve">Practical Tools:</w:t>
      </w:r>
    </w:p>
    <w:p>
      <w:pPr>
        <w:pStyle w:val="Compact"/>
        <w:numPr>
          <w:ilvl w:val="1"/>
          <w:numId w:val="1025"/>
        </w:numPr>
      </w:pPr>
      <w:r>
        <w:t xml:space="preserve">Data Management Plan Templates (</w:t>
      </w:r>
      <w:hyperlink r:id="rId126">
        <w:r>
          <w:rPr>
            <w:rStyle w:val="Hyperlink"/>
          </w:rPr>
          <w:t xml:space="preserve">DMPTool</w:t>
        </w:r>
      </w:hyperlink>
      <w:r>
        <w:t xml:space="preserve">)</w:t>
      </w:r>
    </w:p>
    <w:p>
      <w:pPr>
        <w:pStyle w:val="Compact"/>
        <w:numPr>
          <w:ilvl w:val="1"/>
          <w:numId w:val="1025"/>
        </w:numPr>
      </w:pPr>
      <w:r>
        <w:t xml:space="preserve">DACI and RACI Frameworks (</w:t>
      </w:r>
      <w:hyperlink r:id="rId127">
        <w:r>
          <w:rPr>
            <w:rStyle w:val="Hyperlink"/>
          </w:rPr>
          <w:t xml:space="preserve">Atlassian DACI Guide</w:t>
        </w:r>
      </w:hyperlink>
      <w:r>
        <w:t xml:space="preserve">)</w:t>
      </w:r>
    </w:p>
    <w:bookmarkEnd w:id="128"/>
    <w:bookmarkStart w:id="133" w:name="metadata-standards-and-ontologies"/>
    <w:p>
      <w:pPr>
        <w:pStyle w:val="Heading3"/>
      </w:pPr>
      <w:r>
        <w:t xml:space="preserve">3. Metadata Standards and Ontologies</w:t>
      </w:r>
    </w:p>
    <w:p>
      <w:pPr>
        <w:pStyle w:val="Compact"/>
        <w:numPr>
          <w:ilvl w:val="0"/>
          <w:numId w:val="1026"/>
        </w:numPr>
      </w:pPr>
      <w:r>
        <w:rPr>
          <w:b/>
          <w:bCs/>
        </w:rPr>
        <w:t xml:space="preserve">Standards to Master:</w:t>
      </w:r>
    </w:p>
    <w:p>
      <w:pPr>
        <w:pStyle w:val="Compact"/>
        <w:numPr>
          <w:ilvl w:val="1"/>
          <w:numId w:val="1027"/>
        </w:numPr>
      </w:pPr>
      <w:hyperlink r:id="rId129">
        <w:r>
          <w:rPr>
            <w:rStyle w:val="Hyperlink"/>
          </w:rPr>
          <w:t xml:space="preserve">ISO 19115 Metadata Standard</w:t>
        </w:r>
      </w:hyperlink>
    </w:p>
    <w:p>
      <w:pPr>
        <w:pStyle w:val="Compact"/>
        <w:numPr>
          <w:ilvl w:val="1"/>
          <w:numId w:val="1027"/>
        </w:numPr>
      </w:pPr>
      <w:hyperlink r:id="rId130">
        <w:r>
          <w:rPr>
            <w:rStyle w:val="Hyperlink"/>
          </w:rPr>
          <w:t xml:space="preserve">Ecological Metadata Language (EML)</w:t>
        </w:r>
      </w:hyperlink>
    </w:p>
    <w:p>
      <w:pPr>
        <w:pStyle w:val="Compact"/>
        <w:numPr>
          <w:ilvl w:val="1"/>
          <w:numId w:val="1027"/>
        </w:numPr>
      </w:pPr>
      <w:hyperlink r:id="rId98">
        <w:r>
          <w:rPr>
            <w:rStyle w:val="Hyperlink"/>
          </w:rPr>
          <w:t xml:space="preserve">Darwin Core Standard</w:t>
        </w:r>
      </w:hyperlink>
    </w:p>
    <w:p>
      <w:pPr>
        <w:pStyle w:val="Compact"/>
        <w:numPr>
          <w:ilvl w:val="0"/>
          <w:numId w:val="1026"/>
        </w:numPr>
      </w:pPr>
      <w:r>
        <w:rPr>
          <w:b/>
          <w:bCs/>
        </w:rPr>
        <w:t xml:space="preserve">Case Studies &amp; Examples:</w:t>
      </w:r>
    </w:p>
    <w:p>
      <w:pPr>
        <w:pStyle w:val="Compact"/>
        <w:numPr>
          <w:ilvl w:val="1"/>
          <w:numId w:val="1028"/>
        </w:numPr>
      </w:pPr>
      <w:hyperlink r:id="rId131">
        <w:r>
          <w:rPr>
            <w:rStyle w:val="Hyperlink"/>
          </w:rPr>
          <w:t xml:space="preserve">Pacific Salmon Foundation Metadata Standards</w:t>
        </w:r>
      </w:hyperlink>
    </w:p>
    <w:p>
      <w:pPr>
        <w:pStyle w:val="Compact"/>
        <w:numPr>
          <w:ilvl w:val="1"/>
          <w:numId w:val="1028"/>
        </w:numPr>
      </w:pPr>
      <w:hyperlink r:id="rId132">
        <w:r>
          <w:rPr>
            <w:rStyle w:val="Hyperlink"/>
          </w:rPr>
          <w:t xml:space="preserve">Hakai Institute Juvenile Salmon Program</w:t>
        </w:r>
      </w:hyperlink>
    </w:p>
    <w:bookmarkEnd w:id="133"/>
    <w:bookmarkStart w:id="138" w:name="Xf6eb9f702153c308c8ac6b6a9da7e4d876107cd"/>
    <w:p>
      <w:pPr>
        <w:pStyle w:val="Heading3"/>
      </w:pPr>
      <w:r>
        <w:t xml:space="preserve">4. Controlled Vocabularies &amp; Persistent Identifiers (PIDs)</w:t>
      </w:r>
    </w:p>
    <w:p>
      <w:pPr>
        <w:pStyle w:val="Compact"/>
        <w:numPr>
          <w:ilvl w:val="0"/>
          <w:numId w:val="1029"/>
        </w:numPr>
      </w:pPr>
      <w:r>
        <w:rPr>
          <w:b/>
          <w:bCs/>
        </w:rPr>
        <w:t xml:space="preserve">PIDs to Implement:</w:t>
      </w:r>
    </w:p>
    <w:p>
      <w:pPr>
        <w:pStyle w:val="Compact"/>
        <w:numPr>
          <w:ilvl w:val="1"/>
          <w:numId w:val="1030"/>
        </w:numPr>
      </w:pPr>
      <w:hyperlink r:id="rId134">
        <w:r>
          <w:rPr>
            <w:rStyle w:val="Hyperlink"/>
          </w:rPr>
          <w:t xml:space="preserve">DOIs via DataCite</w:t>
        </w:r>
      </w:hyperlink>
    </w:p>
    <w:p>
      <w:pPr>
        <w:pStyle w:val="Compact"/>
        <w:numPr>
          <w:ilvl w:val="1"/>
          <w:numId w:val="1030"/>
        </w:numPr>
      </w:pPr>
      <w:hyperlink r:id="rId135">
        <w:r>
          <w:rPr>
            <w:rStyle w:val="Hyperlink"/>
          </w:rPr>
          <w:t xml:space="preserve">ORCID IDs</w:t>
        </w:r>
      </w:hyperlink>
    </w:p>
    <w:p>
      <w:pPr>
        <w:pStyle w:val="Compact"/>
        <w:numPr>
          <w:ilvl w:val="1"/>
          <w:numId w:val="1030"/>
        </w:numPr>
      </w:pPr>
      <w:hyperlink r:id="rId136">
        <w:r>
          <w:rPr>
            <w:rStyle w:val="Hyperlink"/>
          </w:rPr>
          <w:t xml:space="preserve">Research Organization Registry (ROR)</w:t>
        </w:r>
      </w:hyperlink>
    </w:p>
    <w:p>
      <w:pPr>
        <w:pStyle w:val="Compact"/>
        <w:numPr>
          <w:ilvl w:val="0"/>
          <w:numId w:val="1029"/>
        </w:numPr>
      </w:pPr>
      <w:r>
        <w:rPr>
          <w:b/>
          <w:bCs/>
        </w:rPr>
        <w:t xml:space="preserve">Practical Guides:</w:t>
      </w:r>
    </w:p>
    <w:p>
      <w:pPr>
        <w:pStyle w:val="Compact"/>
        <w:numPr>
          <w:ilvl w:val="1"/>
          <w:numId w:val="1031"/>
        </w:numPr>
      </w:pPr>
      <w:hyperlink r:id="rId137">
        <w:r>
          <w:rPr>
            <w:rStyle w:val="Hyperlink"/>
          </w:rPr>
          <w:t xml:space="preserve">Introduction to PIDs (DataCite Blog)</w:t>
        </w:r>
      </w:hyperlink>
    </w:p>
    <w:bookmarkEnd w:id="138"/>
    <w:bookmarkStart w:id="143" w:name="data-integration-interoperability"/>
    <w:p>
      <w:pPr>
        <w:pStyle w:val="Heading3"/>
      </w:pPr>
      <w:r>
        <w:t xml:space="preserve">5. Data Integration &amp; Interoperability</w:t>
      </w:r>
    </w:p>
    <w:p>
      <w:pPr>
        <w:pStyle w:val="Compact"/>
        <w:numPr>
          <w:ilvl w:val="0"/>
          <w:numId w:val="1032"/>
        </w:numPr>
      </w:pPr>
      <w:r>
        <w:rPr>
          <w:b/>
          <w:bCs/>
        </w:rPr>
        <w:t xml:space="preserve">Seminal Papers:</w:t>
      </w:r>
    </w:p>
    <w:p>
      <w:pPr>
        <w:pStyle w:val="Compact"/>
        <w:numPr>
          <w:ilvl w:val="1"/>
          <w:numId w:val="1033"/>
        </w:numPr>
      </w:pPr>
      <w:r>
        <w:t xml:space="preserve">Johnson &amp; Stap, 2024</w:t>
      </w:r>
      <w:r>
        <w:t xml:space="preserve"> </w:t>
      </w:r>
      <w:hyperlink r:id="rId53">
        <w:r>
          <w:rPr>
            <w:rStyle w:val="Hyperlink"/>
          </w:rPr>
          <w:t xml:space="preserve">Salmon Ocean Observing System</w:t>
        </w:r>
      </w:hyperlink>
    </w:p>
    <w:p>
      <w:pPr>
        <w:pStyle w:val="Compact"/>
        <w:numPr>
          <w:ilvl w:val="1"/>
          <w:numId w:val="1033"/>
        </w:numPr>
      </w:pPr>
      <w:r>
        <w:t xml:space="preserve">Bull et al. 2022</w:t>
      </w:r>
      <w:r>
        <w:t xml:space="preserve"> </w:t>
      </w:r>
      <w:hyperlink r:id="rId39">
        <w:r>
          <w:rPr>
            <w:rStyle w:val="Hyperlink"/>
          </w:rPr>
          <w:t xml:space="preserve">Likely Suspects Framework</w:t>
        </w:r>
      </w:hyperlink>
    </w:p>
    <w:p>
      <w:pPr>
        <w:pStyle w:val="Compact"/>
        <w:numPr>
          <w:ilvl w:val="0"/>
          <w:numId w:val="1032"/>
        </w:numPr>
      </w:pPr>
      <w:r>
        <w:rPr>
          <w:b/>
          <w:bCs/>
        </w:rPr>
        <w:t xml:space="preserve">Technical Skills &amp; Tools:</w:t>
      </w:r>
    </w:p>
    <w:p>
      <w:pPr>
        <w:pStyle w:val="Compact"/>
        <w:numPr>
          <w:ilvl w:val="1"/>
          <w:numId w:val="1034"/>
        </w:numPr>
      </w:pPr>
      <w:r>
        <w:t xml:space="preserve">APIs with</w:t>
      </w:r>
      <w:r>
        <w:t xml:space="preserve"> </w:t>
      </w:r>
      <w:hyperlink r:id="rId139">
        <w:r>
          <w:rPr>
            <w:rStyle w:val="Hyperlink"/>
          </w:rPr>
          <w:t xml:space="preserve">FastAPI</w:t>
        </w:r>
      </w:hyperlink>
      <w:r>
        <w:t xml:space="preserve">,</w:t>
      </w:r>
      <w:r>
        <w:t xml:space="preserve"> </w:t>
      </w:r>
      <w:hyperlink r:id="rId140">
        <w:r>
          <w:rPr>
            <w:rStyle w:val="Hyperlink"/>
          </w:rPr>
          <w:t xml:space="preserve">Flask</w:t>
        </w:r>
      </w:hyperlink>
      <w:r>
        <w:t xml:space="preserve">,</w:t>
      </w:r>
      <w:r>
        <w:t xml:space="preserve"> </w:t>
      </w:r>
      <w:hyperlink r:id="rId141">
        <w:r>
          <w:rPr>
            <w:rStyle w:val="Hyperlink"/>
          </w:rPr>
          <w:t xml:space="preserve">Django REST Framework</w:t>
        </w:r>
      </w:hyperlink>
    </w:p>
    <w:p>
      <w:pPr>
        <w:pStyle w:val="Compact"/>
        <w:numPr>
          <w:ilvl w:val="1"/>
          <w:numId w:val="1034"/>
        </w:numPr>
      </w:pPr>
      <w:hyperlink r:id="rId142">
        <w:r>
          <w:rPr>
            <w:rStyle w:val="Hyperlink"/>
          </w:rPr>
          <w:t xml:space="preserve">Zenodo-GitHub Integration</w:t>
        </w:r>
      </w:hyperlink>
    </w:p>
    <w:bookmarkEnd w:id="143"/>
    <w:bookmarkStart w:id="147" w:name="data-sharing-citation-metrics"/>
    <w:p>
      <w:pPr>
        <w:pStyle w:val="Heading3"/>
      </w:pPr>
      <w:r>
        <w:t xml:space="preserve">6. Data Sharing, Citation &amp; Metrics</w:t>
      </w:r>
    </w:p>
    <w:p>
      <w:pPr>
        <w:pStyle w:val="Compact"/>
        <w:numPr>
          <w:ilvl w:val="0"/>
          <w:numId w:val="1035"/>
        </w:numPr>
      </w:pPr>
      <w:r>
        <w:rPr>
          <w:b/>
          <w:bCs/>
        </w:rPr>
        <w:t xml:space="preserve">Best Practices:</w:t>
      </w:r>
    </w:p>
    <w:p>
      <w:pPr>
        <w:pStyle w:val="Compact"/>
        <w:numPr>
          <w:ilvl w:val="1"/>
          <w:numId w:val="1036"/>
        </w:numPr>
      </w:pPr>
      <w:hyperlink r:id="rId144">
        <w:r>
          <w:rPr>
            <w:rStyle w:val="Hyperlink"/>
          </w:rPr>
          <w:t xml:space="preserve">Creative Commons Attribution 4.0 International License</w:t>
        </w:r>
      </w:hyperlink>
    </w:p>
    <w:p>
      <w:pPr>
        <w:pStyle w:val="Compact"/>
        <w:numPr>
          <w:ilvl w:val="0"/>
          <w:numId w:val="1035"/>
        </w:numPr>
      </w:pPr>
      <w:r>
        <w:rPr>
          <w:b/>
          <w:bCs/>
        </w:rPr>
        <w:t xml:space="preserve">Tracking &amp; Metrics:</w:t>
      </w:r>
    </w:p>
    <w:p>
      <w:pPr>
        <w:pStyle w:val="Compact"/>
        <w:numPr>
          <w:ilvl w:val="1"/>
          <w:numId w:val="1037"/>
        </w:numPr>
      </w:pPr>
      <w:hyperlink r:id="rId145">
        <w:r>
          <w:rPr>
            <w:rStyle w:val="Hyperlink"/>
          </w:rPr>
          <w:t xml:space="preserve">COUNTER Metrics</w:t>
        </w:r>
      </w:hyperlink>
    </w:p>
    <w:p>
      <w:pPr>
        <w:pStyle w:val="Compact"/>
        <w:numPr>
          <w:ilvl w:val="1"/>
          <w:numId w:val="1037"/>
        </w:numPr>
      </w:pPr>
      <w:hyperlink r:id="rId146">
        <w:r>
          <w:rPr>
            <w:rStyle w:val="Hyperlink"/>
          </w:rPr>
          <w:t xml:space="preserve">DataCite API</w:t>
        </w:r>
      </w:hyperlink>
    </w:p>
    <w:bookmarkEnd w:id="147"/>
    <w:bookmarkStart w:id="151" w:name="community-engagement-co-development"/>
    <w:p>
      <w:pPr>
        <w:pStyle w:val="Heading3"/>
      </w:pPr>
      <w:r>
        <w:t xml:space="preserve">7. Community Engagement &amp; Co-Development</w:t>
      </w:r>
    </w:p>
    <w:p>
      <w:pPr>
        <w:pStyle w:val="Compact"/>
        <w:numPr>
          <w:ilvl w:val="0"/>
          <w:numId w:val="1038"/>
        </w:numPr>
      </w:pPr>
      <w:r>
        <w:rPr>
          <w:b/>
          <w:bCs/>
        </w:rPr>
        <w:t xml:space="preserve">Communities &amp; Groups:</w:t>
      </w:r>
    </w:p>
    <w:p>
      <w:pPr>
        <w:pStyle w:val="Compact"/>
        <w:numPr>
          <w:ilvl w:val="1"/>
          <w:numId w:val="1039"/>
        </w:numPr>
      </w:pPr>
      <w:hyperlink r:id="rId148">
        <w:r>
          <w:rPr>
            <w:rStyle w:val="Hyperlink"/>
          </w:rPr>
          <w:t xml:space="preserve">Research Data Alliance Salmon Research Group</w:t>
        </w:r>
      </w:hyperlink>
    </w:p>
    <w:p>
      <w:pPr>
        <w:pStyle w:val="Compact"/>
        <w:numPr>
          <w:ilvl w:val="0"/>
          <w:numId w:val="1038"/>
        </w:numPr>
      </w:pPr>
      <w:r>
        <w:rPr>
          <w:b/>
          <w:bCs/>
        </w:rPr>
        <w:t xml:space="preserve">Approaches &amp; Frameworks:</w:t>
      </w:r>
    </w:p>
    <w:p>
      <w:pPr>
        <w:pStyle w:val="Compact"/>
        <w:numPr>
          <w:ilvl w:val="1"/>
          <w:numId w:val="1040"/>
        </w:numPr>
      </w:pPr>
      <w:r>
        <w:t xml:space="preserve">User-centered Design (</w:t>
      </w:r>
      <w:hyperlink r:id="rId149">
        <w:r>
          <w:rPr>
            <w:rStyle w:val="Hyperlink"/>
          </w:rPr>
          <w:t xml:space="preserve">Interaction Design Foundation</w:t>
        </w:r>
      </w:hyperlink>
      <w:r>
        <w:t xml:space="preserve">)</w:t>
      </w:r>
    </w:p>
    <w:p>
      <w:pPr>
        <w:pStyle w:val="Compact"/>
        <w:numPr>
          <w:ilvl w:val="1"/>
          <w:numId w:val="1040"/>
        </w:numPr>
      </w:pPr>
      <w:r>
        <w:t xml:space="preserve">Community Engaged Research (</w:t>
      </w:r>
      <w:hyperlink r:id="rId150">
        <w:r>
          <w:rPr>
            <w:rStyle w:val="Hyperlink"/>
          </w:rPr>
          <w:t xml:space="preserve">University of Victoria Guide</w:t>
        </w:r>
      </w:hyperlink>
      <w:r>
        <w:t xml:space="preserve">)</w:t>
      </w:r>
    </w:p>
    <w:bookmarkEnd w:id="151"/>
    <w:bookmarkStart w:id="157" w:name="additional-resources"/>
    <w:p>
      <w:pPr>
        <w:pStyle w:val="Heading3"/>
      </w:pPr>
      <w:r>
        <w:t xml:space="preserve">Additional Resources</w:t>
      </w:r>
    </w:p>
    <w:p>
      <w:pPr>
        <w:pStyle w:val="Compact"/>
        <w:numPr>
          <w:ilvl w:val="0"/>
          <w:numId w:val="1041"/>
        </w:numPr>
      </w:pPr>
      <w:r>
        <w:rPr>
          <w:b/>
          <w:bCs/>
        </w:rPr>
        <w:t xml:space="preserve">Free Courses:</w:t>
      </w:r>
    </w:p>
    <w:p>
      <w:pPr>
        <w:pStyle w:val="Compact"/>
        <w:numPr>
          <w:ilvl w:val="1"/>
          <w:numId w:val="1042"/>
        </w:numPr>
      </w:pPr>
      <w:hyperlink r:id="rId152">
        <w:r>
          <w:rPr>
            <w:rStyle w:val="Hyperlink"/>
          </w:rPr>
          <w:t xml:space="preserve">Introduction to Open Science (FOSTER)</w:t>
        </w:r>
      </w:hyperlink>
    </w:p>
    <w:p>
      <w:pPr>
        <w:pStyle w:val="Compact"/>
        <w:numPr>
          <w:ilvl w:val="1"/>
          <w:numId w:val="1042"/>
        </w:numPr>
      </w:pPr>
      <w:hyperlink r:id="rId153">
        <w:r>
          <w:rPr>
            <w:rStyle w:val="Hyperlink"/>
          </w:rPr>
          <w:t xml:space="preserve">Research Data Management and Sharing (Coursera)</w:t>
        </w:r>
      </w:hyperlink>
    </w:p>
    <w:p>
      <w:pPr>
        <w:pStyle w:val="Compact"/>
        <w:numPr>
          <w:ilvl w:val="0"/>
          <w:numId w:val="1041"/>
        </w:numPr>
      </w:pPr>
      <w:r>
        <w:rPr>
          <w:b/>
          <w:bCs/>
        </w:rPr>
        <w:t xml:space="preserve">Blogs &amp; Websites:</w:t>
      </w:r>
    </w:p>
    <w:p>
      <w:pPr>
        <w:pStyle w:val="Compact"/>
        <w:numPr>
          <w:ilvl w:val="1"/>
          <w:numId w:val="1043"/>
        </w:numPr>
      </w:pPr>
      <w:hyperlink r:id="rId154">
        <w:r>
          <w:rPr>
            <w:rStyle w:val="Hyperlink"/>
          </w:rPr>
          <w:t xml:space="preserve">Open Knowledge Foundation Blog</w:t>
        </w:r>
      </w:hyperlink>
    </w:p>
    <w:p>
      <w:pPr>
        <w:pStyle w:val="Compact"/>
        <w:numPr>
          <w:ilvl w:val="1"/>
          <w:numId w:val="1043"/>
        </w:numPr>
      </w:pPr>
      <w:hyperlink r:id="rId155">
        <w:r>
          <w:rPr>
            <w:rStyle w:val="Hyperlink"/>
          </w:rPr>
          <w:t xml:space="preserve">DataONE Data Management Resources</w:t>
        </w:r>
      </w:hyperlink>
    </w:p>
    <w:p>
      <w:pPr>
        <w:pStyle w:val="FirstParagraph"/>
      </w:pPr>
      <w:r>
        <w:t xml:space="preserve">This roadmap serves as a structured guide to equip salmon biologists with the practical and theoretical skills required to excel in data stewardship roles.</w:t>
      </w:r>
    </w:p>
    <w:p>
      <w:pPr>
        <w:pStyle w:val="BodyText"/>
      </w:pPr>
      <w:r>
        <w:rPr>
          <w:vertAlign w:val="subscript"/>
        </w:rPr>
        <w:t xml:space="preserve">Source:</w:t>
      </w:r>
      <w:r>
        <w:rPr>
          <w:vertAlign w:val="subscript"/>
        </w:rPr>
        <w:t xml:space="preserve"> </w:t>
      </w:r>
      <w:hyperlink r:id="rId156">
        <w:r>
          <w:rPr>
            <w:rStyle w:val="Hyperlink"/>
            <w:vertAlign w:val="subscript"/>
          </w:rPr>
          <w:t xml:space="preserve">Appendix: Training Roadmap for Salmon Biologists Transitioning to Data Stewardship</w:t>
        </w:r>
      </w:hyperlink>
    </w:p>
    <w:bookmarkEnd w:id="157"/>
    <w:bookmarkEnd w:id="158"/>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57" Target="http://www.cohencommission.ca/" TargetMode="External" /><Relationship Type="http://schemas.openxmlformats.org/officeDocument/2006/relationships/hyperlink" Id="rId106" Target="https://api.ptagis.org/index.html#:~:text=PTAGIS%20API%20Gets%20a%20list,PTAGIS%20and%20currently%20contributing%20data" TargetMode="External" /><Relationship Type="http://schemas.openxmlformats.org/officeDocument/2006/relationships/hyperlink" Id="rId137" Target="https://blog.datacite.org/" TargetMode="External" /><Relationship Type="http://schemas.openxmlformats.org/officeDocument/2006/relationships/hyperlink" Id="rId154"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6" Target="https://br-johnson.github.io/sdm-paper/appendices\appendix-1-real-world-examples-preview.html#db49f911-1b05-49e2-a38e-2960c283159b" TargetMode="External" /><Relationship Type="http://schemas.openxmlformats.org/officeDocument/2006/relationships/hyperlink" Id="rId156" Target="https://br-johnson.github.io/sdm-paper/appendices\appendix-2-training-roadmap-preview.html#7c3b2b24-38fb-439b-9e99-6e340c1fcb2b" TargetMode="External" /><Relationship Type="http://schemas.openxmlformats.org/officeDocument/2006/relationships/hyperlink" Id="rId94" Target="https://commons.datacite.org/ror.org/04901nj56" TargetMode="External" /><Relationship Type="http://schemas.openxmlformats.org/officeDocument/2006/relationships/hyperlink" Id="rId144" Target="https://creativecommons.org/licenses/by/4.0/" TargetMode="External" /><Relationship Type="http://schemas.openxmlformats.org/officeDocument/2006/relationships/hyperlink" Id="rId109" Target="https://creativecommons.org/licenses/by/4.0/deed.en" TargetMode="External" /><Relationship Type="http://schemas.openxmlformats.org/officeDocument/2006/relationships/hyperlink" Id="rId95" Target="https://data.npafc.org" TargetMode="External" /><Relationship Type="http://schemas.openxmlformats.org/officeDocument/2006/relationships/hyperlink" Id="rId134" Target="https://datacite.org" TargetMode="External" /><Relationship Type="http://schemas.openxmlformats.org/officeDocument/2006/relationships/hyperlink" Id="rId146" Target="https://datacite.org/service.html" TargetMode="External" /><Relationship Type="http://schemas.openxmlformats.org/officeDocument/2006/relationships/hyperlink" Id="rId126"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98" Target="https://dwc.tdwg.org/" TargetMode="External" /><Relationship Type="http://schemas.openxmlformats.org/officeDocument/2006/relationships/hyperlink" Id="rId130" Target="https://eml.ecoinformatics.org/" TargetMode="External" /><Relationship Type="http://schemas.openxmlformats.org/officeDocument/2006/relationships/hyperlink" Id="rId139"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0" Target="https://flask.palletsprojects.com" TargetMode="External" /><Relationship Type="http://schemas.openxmlformats.org/officeDocument/2006/relationships/hyperlink" Id="rId142" Target="https://guides.github.com/activities/citable-code/" TargetMode="External" /><Relationship Type="http://schemas.openxmlformats.org/officeDocument/2006/relationships/hyperlink" Id="rId131" Target="https://marinedata.psf.ca" TargetMode="External" /><Relationship Type="http://schemas.openxmlformats.org/officeDocument/2006/relationships/hyperlink" Id="rId132" Target="https://obis.org/dataset/81a9b931-8f47-49c4-94ff-0e46d7e9f1c9" TargetMode="External" /><Relationship Type="http://schemas.openxmlformats.org/officeDocument/2006/relationships/hyperlink" Id="rId135" Target="https://orcid.org" TargetMode="External" /><Relationship Type="http://schemas.openxmlformats.org/officeDocument/2006/relationships/hyperlink" Id="rId92" Target="https://orcid.org/" TargetMode="External" /><Relationship Type="http://schemas.openxmlformats.org/officeDocument/2006/relationships/hyperlink" Id="rId114"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48" Target="https://rd-alliance.org/groups/salmon-data-management" TargetMode="External" /><Relationship Type="http://schemas.openxmlformats.org/officeDocument/2006/relationships/hyperlink" Id="rId121" Target="https://roadmap.sh" TargetMode="External" /><Relationship Type="http://schemas.openxmlformats.org/officeDocument/2006/relationships/hyperlink" Id="rId136" Target="https://ror.org" TargetMode="External" /><Relationship Type="http://schemas.openxmlformats.org/officeDocument/2006/relationships/hyperlink" Id="rId93" Target="https://ror.org/search?page=1&amp;query=salmon" TargetMode="External" /><Relationship Type="http://schemas.openxmlformats.org/officeDocument/2006/relationships/hyperlink" Id="rId115" Target="https://salmonprize.com" TargetMode="External" /><Relationship Type="http://schemas.openxmlformats.org/officeDocument/2006/relationships/hyperlink" Id="rId101" Target="https://wdfw.wa.gov/fishing/management/hatcheries/escapement#definitions" TargetMode="External" /><Relationship Type="http://schemas.openxmlformats.org/officeDocument/2006/relationships/hyperlink" Id="rId127" Target="https://www.atlassian.com/team-playbook/plays/daci" TargetMode="External" /><Relationship Type="http://schemas.openxmlformats.org/officeDocument/2006/relationships/hyperlink" Id="rId110" Target="https://www.countermetrics.org/" TargetMode="External" /><Relationship Type="http://schemas.openxmlformats.org/officeDocument/2006/relationships/hyperlink" Id="rId153" Target="https://www.coursera.org/learn/data-management" TargetMode="External" /><Relationship Type="http://schemas.openxmlformats.org/officeDocument/2006/relationships/hyperlink" Id="rId155" Target="https://www.dataone.org/resources/" TargetMode="External" /><Relationship Type="http://schemas.openxmlformats.org/officeDocument/2006/relationships/hyperlink" Id="rId141" Target="https://www.django-rest-framework.org" TargetMode="External" /><Relationship Type="http://schemas.openxmlformats.org/officeDocument/2006/relationships/hyperlink" Id="rId152" Target="https://www.fosteropenscience.eu/toolkit" TargetMode="External" /><Relationship Type="http://schemas.openxmlformats.org/officeDocument/2006/relationships/hyperlink" Id="rId102" Target="https://www.fpc.org/111_sharedfiles/ColumbiaRiverBasinAdultFishPassageCountsMetadata.pdf" TargetMode="External" /><Relationship Type="http://schemas.openxmlformats.org/officeDocument/2006/relationships/hyperlink" Id="rId99" Target="https://www.gbif.org/dataset/72de3af4-1572-4f2d-8006-2bfa2007065c" TargetMode="External" /><Relationship Type="http://schemas.openxmlformats.org/officeDocument/2006/relationships/hyperlink" Id="rId100" Target="https://www.gbif.org/dataset/search?project_id=IYS" TargetMode="External" /><Relationship Type="http://schemas.openxmlformats.org/officeDocument/2006/relationships/hyperlink" Id="rId123" Target="https://www.gida-global.org/care" TargetMode="External" /><Relationship Type="http://schemas.openxmlformats.org/officeDocument/2006/relationships/hyperlink" Id="rId122" Target="https://www.go-fair.org/fair-principles/" TargetMode="External" /><Relationship Type="http://schemas.openxmlformats.org/officeDocument/2006/relationships/hyperlink" Id="rId124" Target="https://www.go-fair.org/resources/videos/fair-principles-explained/" TargetMode="External" /><Relationship Type="http://schemas.openxmlformats.org/officeDocument/2006/relationships/hyperlink" Id="rId149" Target="https://www.interaction-design.org/literature/topics/user-centered-design" TargetMode="External" /><Relationship Type="http://schemas.openxmlformats.org/officeDocument/2006/relationships/hyperlink" Id="rId129"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5"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5" Target="https://www.psmfc.org/program/pit-tag-information-systems-ptagis" TargetMode="External" /><Relationship Type="http://schemas.openxmlformats.org/officeDocument/2006/relationships/hyperlink" Id="rId113" Target="https://www.rd-alliance.org/groups/salmon-research-and-monitoring-ig/" TargetMode="External" /><Relationship Type="http://schemas.openxmlformats.org/officeDocument/2006/relationships/hyperlink" Id="rId150" Target="https://www.uvic.ca/research/assets/docs/Community-Engaged-Research.pdf" TargetMode="External" /></Relationships>
</file>

<file path=word/_rels/footnotes.xml.rels><?xml version="1.0" encoding="UTF-8"?><Relationships xmlns="http://schemas.openxmlformats.org/package/2006/relationships"><Relationship Type="http://schemas.openxmlformats.org/officeDocument/2006/relationships/hyperlink" Id="rId57" Target="http://www.cohencommission.ca/" TargetMode="External" /><Relationship Type="http://schemas.openxmlformats.org/officeDocument/2006/relationships/hyperlink" Id="rId106" Target="https://api.ptagis.org/index.html#:~:text=PTAGIS%20API%20Gets%20a%20list,PTAGIS%20and%20currently%20contributing%20data" TargetMode="External" /><Relationship Type="http://schemas.openxmlformats.org/officeDocument/2006/relationships/hyperlink" Id="rId137" Target="https://blog.datacite.org/" TargetMode="External" /><Relationship Type="http://schemas.openxmlformats.org/officeDocument/2006/relationships/hyperlink" Id="rId154"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6" Target="https://br-johnson.github.io/sdm-paper/appendices\appendix-1-real-world-examples-preview.html#db49f911-1b05-49e2-a38e-2960c283159b" TargetMode="External" /><Relationship Type="http://schemas.openxmlformats.org/officeDocument/2006/relationships/hyperlink" Id="rId156" Target="https://br-johnson.github.io/sdm-paper/appendices\appendix-2-training-roadmap-preview.html#7c3b2b24-38fb-439b-9e99-6e340c1fcb2b" TargetMode="External" /><Relationship Type="http://schemas.openxmlformats.org/officeDocument/2006/relationships/hyperlink" Id="rId94" Target="https://commons.datacite.org/ror.org/04901nj56" TargetMode="External" /><Relationship Type="http://schemas.openxmlformats.org/officeDocument/2006/relationships/hyperlink" Id="rId144" Target="https://creativecommons.org/licenses/by/4.0/" TargetMode="External" /><Relationship Type="http://schemas.openxmlformats.org/officeDocument/2006/relationships/hyperlink" Id="rId109" Target="https://creativecommons.org/licenses/by/4.0/deed.en" TargetMode="External" /><Relationship Type="http://schemas.openxmlformats.org/officeDocument/2006/relationships/hyperlink" Id="rId95" Target="https://data.npafc.org" TargetMode="External" /><Relationship Type="http://schemas.openxmlformats.org/officeDocument/2006/relationships/hyperlink" Id="rId134" Target="https://datacite.org" TargetMode="External" /><Relationship Type="http://schemas.openxmlformats.org/officeDocument/2006/relationships/hyperlink" Id="rId146" Target="https://datacite.org/service.html" TargetMode="External" /><Relationship Type="http://schemas.openxmlformats.org/officeDocument/2006/relationships/hyperlink" Id="rId126"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98" Target="https://dwc.tdwg.org/" TargetMode="External" /><Relationship Type="http://schemas.openxmlformats.org/officeDocument/2006/relationships/hyperlink" Id="rId130" Target="https://eml.ecoinformatics.org/" TargetMode="External" /><Relationship Type="http://schemas.openxmlformats.org/officeDocument/2006/relationships/hyperlink" Id="rId139"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0" Target="https://flask.palletsprojects.com" TargetMode="External" /><Relationship Type="http://schemas.openxmlformats.org/officeDocument/2006/relationships/hyperlink" Id="rId142" Target="https://guides.github.com/activities/citable-code/" TargetMode="External" /><Relationship Type="http://schemas.openxmlformats.org/officeDocument/2006/relationships/hyperlink" Id="rId131" Target="https://marinedata.psf.ca" TargetMode="External" /><Relationship Type="http://schemas.openxmlformats.org/officeDocument/2006/relationships/hyperlink" Id="rId132" Target="https://obis.org/dataset/81a9b931-8f47-49c4-94ff-0e46d7e9f1c9" TargetMode="External" /><Relationship Type="http://schemas.openxmlformats.org/officeDocument/2006/relationships/hyperlink" Id="rId135" Target="https://orcid.org" TargetMode="External" /><Relationship Type="http://schemas.openxmlformats.org/officeDocument/2006/relationships/hyperlink" Id="rId92" Target="https://orcid.org/" TargetMode="External" /><Relationship Type="http://schemas.openxmlformats.org/officeDocument/2006/relationships/hyperlink" Id="rId114"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48" Target="https://rd-alliance.org/groups/salmon-data-management" TargetMode="External" /><Relationship Type="http://schemas.openxmlformats.org/officeDocument/2006/relationships/hyperlink" Id="rId121" Target="https://roadmap.sh" TargetMode="External" /><Relationship Type="http://schemas.openxmlformats.org/officeDocument/2006/relationships/hyperlink" Id="rId136" Target="https://ror.org" TargetMode="External" /><Relationship Type="http://schemas.openxmlformats.org/officeDocument/2006/relationships/hyperlink" Id="rId93" Target="https://ror.org/search?page=1&amp;query=salmon" TargetMode="External" /><Relationship Type="http://schemas.openxmlformats.org/officeDocument/2006/relationships/hyperlink" Id="rId115" Target="https://salmonprize.com" TargetMode="External" /><Relationship Type="http://schemas.openxmlformats.org/officeDocument/2006/relationships/hyperlink" Id="rId101" Target="https://wdfw.wa.gov/fishing/management/hatcheries/escapement#definitions" TargetMode="External" /><Relationship Type="http://schemas.openxmlformats.org/officeDocument/2006/relationships/hyperlink" Id="rId127" Target="https://www.atlassian.com/team-playbook/plays/daci" TargetMode="External" /><Relationship Type="http://schemas.openxmlformats.org/officeDocument/2006/relationships/hyperlink" Id="rId110" Target="https://www.countermetrics.org/" TargetMode="External" /><Relationship Type="http://schemas.openxmlformats.org/officeDocument/2006/relationships/hyperlink" Id="rId153" Target="https://www.coursera.org/learn/data-management" TargetMode="External" /><Relationship Type="http://schemas.openxmlformats.org/officeDocument/2006/relationships/hyperlink" Id="rId155" Target="https://www.dataone.org/resources/" TargetMode="External" /><Relationship Type="http://schemas.openxmlformats.org/officeDocument/2006/relationships/hyperlink" Id="rId141" Target="https://www.django-rest-framework.org" TargetMode="External" /><Relationship Type="http://schemas.openxmlformats.org/officeDocument/2006/relationships/hyperlink" Id="rId152" Target="https://www.fosteropenscience.eu/toolkit" TargetMode="External" /><Relationship Type="http://schemas.openxmlformats.org/officeDocument/2006/relationships/hyperlink" Id="rId102" Target="https://www.fpc.org/111_sharedfiles/ColumbiaRiverBasinAdultFishPassageCountsMetadata.pdf" TargetMode="External" /><Relationship Type="http://schemas.openxmlformats.org/officeDocument/2006/relationships/hyperlink" Id="rId99" Target="https://www.gbif.org/dataset/72de3af4-1572-4f2d-8006-2bfa2007065c" TargetMode="External" /><Relationship Type="http://schemas.openxmlformats.org/officeDocument/2006/relationships/hyperlink" Id="rId100" Target="https://www.gbif.org/dataset/search?project_id=IYS" TargetMode="External" /><Relationship Type="http://schemas.openxmlformats.org/officeDocument/2006/relationships/hyperlink" Id="rId123" Target="https://www.gida-global.org/care" TargetMode="External" /><Relationship Type="http://schemas.openxmlformats.org/officeDocument/2006/relationships/hyperlink" Id="rId122" Target="https://www.go-fair.org/fair-principles/" TargetMode="External" /><Relationship Type="http://schemas.openxmlformats.org/officeDocument/2006/relationships/hyperlink" Id="rId124" Target="https://www.go-fair.org/resources/videos/fair-principles-explained/" TargetMode="External" /><Relationship Type="http://schemas.openxmlformats.org/officeDocument/2006/relationships/hyperlink" Id="rId149" Target="https://www.interaction-design.org/literature/topics/user-centered-design" TargetMode="External" /><Relationship Type="http://schemas.openxmlformats.org/officeDocument/2006/relationships/hyperlink" Id="rId129"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5"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5" Target="https://www.psmfc.org/program/pit-tag-information-systems-ptagis" TargetMode="External" /><Relationship Type="http://schemas.openxmlformats.org/officeDocument/2006/relationships/hyperlink" Id="rId113" Target="https://www.rd-alliance.org/groups/salmon-research-and-monitoring-ig/" TargetMode="External" /><Relationship Type="http://schemas.openxmlformats.org/officeDocument/2006/relationships/hyperlink" Id="rId150" Target="https://www.uvic.ca/research/assets/docs/Community-Engaged-Researc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
  <dcterms:created xsi:type="dcterms:W3CDTF">2025-11-10T20:30:57Z</dcterms:created>
  <dcterms:modified xsi:type="dcterms:W3CDTF">2025-11-10T20:30:57Z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style">
    <vt:lpwstr>plain</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DRAFT A Blueprint for Domain-Specific Best Practice</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