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Best practices to mobilize salmon data—a practical guide for salmon biologists assuming responsibility for data stewardship</w:t>
      </w:r>
    </w:p>
    <w:p>
      <w:pPr>
        <w:pStyle w:val="FirstParagraph"/>
      </w:pPr>
      <w:r>
        <w:t xml:space="preserve">Brett Johnson</w:t>
      </w:r>
      <w:r>
        <w:rPr>
          <w:vertAlign w:val="superscript"/>
        </w:rPr>
        <w:t xml:space="preserve">1</w:t>
      </w:r>
      <w:r>
        <w:t xml:space="preserve">, Scott Akenhead, Jennifer Bayer</w:t>
      </w:r>
      <w:r>
        <w:rPr>
          <w:vertAlign w:val="superscript"/>
        </w:rPr>
        <w:t xml:space="preserve">2</w:t>
      </w:r>
      <w:r>
        <w:t xml:space="preserve">, Tomas Bird</w:t>
      </w:r>
      <w:r>
        <w:rPr>
          <w:vertAlign w:val="superscript"/>
        </w:rPr>
        <w:t xml:space="preserve">1</w:t>
      </w:r>
      <w:r>
        <w:t xml:space="preserve">, Samuel Cimino</w:t>
      </w:r>
      <w:r>
        <w:rPr>
          <w:vertAlign w:val="superscript"/>
        </w:rPr>
        <w:t xml:space="preserve">2</w:t>
      </w:r>
      <w:r>
        <w:t xml:space="preserve">, Minh Doan</w:t>
      </w:r>
      <w:r>
        <w:rPr>
          <w:vertAlign w:val="superscript"/>
        </w:rPr>
        <w:t xml:space="preserve">1</w:t>
      </w:r>
      <w:r>
        <w:t xml:space="preserve">, Lara Erikson</w:t>
      </w:r>
      <w:r>
        <w:rPr>
          <w:vertAlign w:val="superscript"/>
        </w:rPr>
        <w:t xml:space="preserve">3</w:t>
      </w:r>
      <w:r>
        <w:t xml:space="preserve">, Nancy Leonard</w:t>
      </w:r>
      <w:r>
        <w:rPr>
          <w:vertAlign w:val="superscript"/>
        </w:rPr>
        <w:t xml:space="preserve">3</w:t>
      </w:r>
      <w:r>
        <w:t xml:space="preserve">, Catherine Michielsens</w:t>
      </w:r>
      <w:r>
        <w:rPr>
          <w:vertAlign w:val="superscript"/>
        </w:rPr>
        <w:t xml:space="preserve">6</w:t>
      </w:r>
      <w:r>
        <w:t xml:space="preserve">, Fiona Martens</w:t>
      </w:r>
      <w:r>
        <w:rPr>
          <w:vertAlign w:val="superscript"/>
        </w:rPr>
        <w:t xml:space="preserve">6</w:t>
      </w:r>
      <w:r>
        <w:t xml:space="preserve">, Emily Lescak</w:t>
      </w:r>
      <w:r>
        <w:rPr>
          <w:vertAlign w:val="superscript"/>
        </w:rPr>
        <w:t xml:space="preserve">4</w:t>
      </w:r>
      <w:r>
        <w:t xml:space="preserve">, Matt Jones?</w:t>
      </w:r>
      <w:r>
        <w:rPr>
          <w:vertAlign w:val="superscript"/>
        </w:rPr>
        <w:t xml:space="preserve">5</w:t>
      </w:r>
      <w:r>
        <w:t xml:space="preserve">, Shirly Stephen-Ambrose</w:t>
      </w:r>
      <w:r>
        <w:rPr>
          <w:vertAlign w:val="superscript"/>
        </w:rPr>
        <w:t xml:space="preserve">5</w:t>
      </w:r>
      <w:r>
        <w:t xml:space="preserve">?, Your name here</w:t>
      </w:r>
    </w:p>
    <w:p>
      <w:pPr>
        <w:pStyle w:val="BodyText"/>
      </w:pPr>
      <w:r>
        <w:t xml:space="preserve">1. Fisheries and Oceans Canada</w:t>
      </w:r>
    </w:p>
    <w:p>
      <w:pPr>
        <w:pStyle w:val="BodyText"/>
      </w:pPr>
      <w:r>
        <w:t xml:space="preserve">2. U.S. Geological Survey</w:t>
      </w:r>
    </w:p>
    <w:p>
      <w:pPr>
        <w:pStyle w:val="BodyText"/>
      </w:pPr>
      <w:r>
        <w:t xml:space="preserve">3. Pacific States Marine Fisheries Commission</w:t>
      </w:r>
    </w:p>
    <w:p>
      <w:pPr>
        <w:pStyle w:val="BodyText"/>
      </w:pPr>
      <w:r>
        <w:t xml:space="preserve">4. University of Alaska Fairbanks</w:t>
      </w:r>
    </w:p>
    <w:p>
      <w:pPr>
        <w:pStyle w:val="BodyText"/>
      </w:pPr>
      <w:r>
        <w:t xml:space="preserve">5. National Centre of Ecological Analysis and Synthesis</w:t>
      </w:r>
    </w:p>
    <w:p>
      <w:pPr>
        <w:pStyle w:val="BodyText"/>
      </w:pPr>
      <w:r>
        <w:t xml:space="preserve">6. Pacific Salmon Commission</w:t>
      </w:r>
    </w:p>
    <w:p>
      <w:pPr>
        <w:pStyle w:val="BodyText"/>
      </w:pPr>
      <w:r>
        <w:t xml:space="preserve">corresponding author: Brett Johnson (Brett.Johnson@dfo-mpo.gc.ca)</w:t>
      </w:r>
    </w:p>
    <w:p>
      <w:pPr>
        <w:pStyle w:val="BodyText"/>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bookmarkStart w:id="20" w:name="abstract"/>
    <w:p>
      <w:pPr>
        <w:pStyle w:val="Heading3"/>
      </w:pPr>
      <w:r>
        <w:t xml:space="preserve">Abstract</w:t>
      </w:r>
    </w:p>
    <w:p>
      <w:pPr>
        <w:pStyle w:val="FirstParagraph"/>
      </w:pPr>
      <w:r>
        <w:t xml:space="preserve">Salmon research, management and conservation generates increasingly vast and diverse data crucial for effective decision making for resource management. Yet, these resources remain largely fragmented across jurisdictions, disciplines and outdated infrastructures, limiting their use in responsive fisheries management. Biologists are increasingly assuming the responsibilities of data stewards to address these challenges, yet often lack clear guidance or institutional support to do so. We provide practical guidance for those transitioning into these essential stewardship roles, outlining actionable best practices specific to the salmon research and management domain, and argue that effective salmon management hinges upon formally establishing data stewardship as a dedicated, institutionally supported professional role. We outline key best practices —including both socio-cultural and technical solutions that collectively ensure salmon data meet FAIR (Findable, Accessible, Interoperable, Reusable) principles and respect Indigenous Data Sovereignty. Through an illustrative case study involving sockeye salmon productivity analyses across Pacific Coast jurisdictions, we highlight how clearly defined stewardship practices can enhance data reproducibility, integration, and management efficacy. With a foundation of shared best practices, salmon data stewards will enable faster, more transparent decisions that draw from broader, cross-jurisdictional datasets, and support development of tools that leverage recent advances in artificial intelligence—ultimately strengthening the management and conservation of salmon populations.</w:t>
      </w:r>
    </w:p>
    <w:bookmarkEnd w:id="20"/>
    <w:bookmarkStart w:id="21" w:name="introduction"/>
    <w:p>
      <w:pPr>
        <w:pStyle w:val="Heading2"/>
      </w:pPr>
      <w:r>
        <w:t xml:space="preserve">INTRODUCTION</w:t>
      </w:r>
    </w:p>
    <w:p>
      <w:pPr>
        <w:pStyle w:val="FirstParagraph"/>
      </w:pPr>
      <w:r>
        <w:t xml:space="preserve">Salmon biologists generate vast amounts of data on abundance, health, and environmental conditions, yet these data remain fragmented, inconsistently measured, and often incomplete across time, space, and life history stages—limiting their value for robust research, hypothesis evaluation, and management decision-making</w:t>
      </w:r>
      <w:r>
        <w:t xml:space="preserve"> </w:t>
      </w:r>
      <w:r>
        <w:t xml:space="preserve">(Marmorek et al. 2011; Inman et al. 2021;</w:t>
      </w:r>
      <w:r>
        <w:t xml:space="preserve"> </w:t>
      </w:r>
      <w:r>
        <w:rPr>
          <w:b/>
          <w:bCs/>
        </w:rPr>
        <w:t xml:space="preserve">diack2024?</w:t>
      </w:r>
      <w:r>
        <w:t xml:space="preserve">)</w:t>
      </w:r>
      <w:r>
        <w:t xml:space="preserve">. Salmon traverse multiple ecological regions and jurisdictional boundaries, resulting in data collections managed by diverse agencies and institutions, often in isolation. This fragmented data landscape undermines timely, integrated analyses necessary for effective management and conservation decisions. Additionally, the lack of institutional support and dedicated roles for data management frequently relegates critical data stewardship tasks to an ad hoc status—something performed off the side of a biologist’s desk. Institutional neglect of formal data stewardship has become a bottleneck in adaptive salmon management and conservation efforts.</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Yet salmon biologists transitioning into data stewardship roles typically receive insufficient guidance or institutional support. We argue that fisheries management agencies must formally acknowledge and fund dedicated data stewardship roles to effectively mobilize and leverage salmon data. Without this institutional commitment, data remain inaccessible and fragmented, severely constraining the responsiveness and adaptability of management actions. To address these critical shortcomings, we outline practical steps that biologists, agencies and organizations can adopt.</w:t>
      </w:r>
    </w:p>
    <w:bookmarkEnd w:id="21"/>
    <w:bookmarkStart w:id="22" w:name="the-problem"/>
    <w:p>
      <w:pPr>
        <w:pStyle w:val="Heading2"/>
      </w:pPr>
      <w:r>
        <w:t xml:space="preserve">THE PROBLEM</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As a result, long-term datasets critical to stock assessment and environmental monitoring frequently become inaccessible, poorly understood,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2"/>
    <w:bookmarkStart w:id="23" w:name="the-need-for-coordinated-action"/>
    <w:p>
      <w:pPr>
        <w:pStyle w:val="Heading2"/>
      </w:pPr>
      <w:r>
        <w:t xml:space="preserve">THE NEED FOR COORDINATED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Authority,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3"/>
    <w:bookmarkStart w:id="24" w:name="X7216ffd7329140db564e6d5da64e72dd73502cb"/>
    <w:p>
      <w:pPr>
        <w:pStyle w:val="Heading2"/>
      </w:pPr>
      <w:r>
        <w:t xml:space="preserve">DEFINING DATA STEWARDSHIP IN SALMON MANAGEMENT</w:t>
      </w:r>
    </w:p>
    <w:p>
      <w:pPr>
        <w:pStyle w:val="FirstParagraph"/>
      </w:pPr>
      <w:r>
        <w:t xml:space="preserve">Data stewardship encompasses the coordinated practices, roles, and responsibilities necessary to effectively manage, share, and reuse data throughout its lifecycle.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1"/>
        </w:numPr>
      </w:pPr>
      <w:r>
        <w:rPr>
          <w:b/>
          <w:bCs/>
        </w:rPr>
        <w:t xml:space="preserve">Technical oversight</w:t>
      </w:r>
      <w:r>
        <w:t xml:space="preserve">: Ensuring metadata completeness, adherence to standardized terminologies and vocabularies, and robust quality assurance protocols.</w:t>
      </w:r>
    </w:p>
    <w:p>
      <w:pPr>
        <w:numPr>
          <w:ilvl w:val="0"/>
          <w:numId w:val="1001"/>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1"/>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user-centered design approach to salmon data stewardship is critical and focuses on creating tools that align with biologists’ needs. Data stewards play a critical role as business analysts, bridging the gap between biologists and IT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4"/>
    <w:bookmarkStart w:id="28" w:name="X8c19b8ff5af5803acdbab76818478bed21369e9"/>
    <w:p>
      <w:pPr>
        <w:pStyle w:val="Heading2"/>
      </w:pPr>
      <w:r>
        <w:t xml:space="preserve">CASE STUDY — UPDATING PACIFIC WIDE SOCKEYE PRODUCTIVITY: WHAT AGENCIES COULD DO NOW</w:t>
      </w:r>
    </w:p>
    <w:p>
      <w:pPr>
        <w:pStyle w:val="FirstParagraph"/>
      </w:pPr>
      <w:r>
        <w:t xml:space="preserve">This case study revisits a pacific coast 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5"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2"/>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p>
      <w:pPr>
        <w:numPr>
          <w:ilvl w:val="0"/>
          <w:numId w:val="1002"/>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bookmarkEnd w:id="25"/>
    <w:bookmarkStart w:id="26"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gray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3"/>
        </w:numPr>
      </w:pPr>
      <w:r>
        <w:rPr>
          <w:b/>
          <w:bCs/>
        </w:rPr>
        <w:t xml:space="preserve">Best Practice 5: Store Data in Ways That Others Can Easily Access and Use</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p>
      <w:pPr>
        <w:numPr>
          <w:ilvl w:val="0"/>
          <w:numId w:val="1003"/>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bookmarkEnd w:id="26"/>
    <w:bookmarkStart w:id="27"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4"/>
        </w:numPr>
      </w:pPr>
      <w:r>
        <w:rPr>
          <w:b/>
          <w:bCs/>
        </w:rPr>
        <w:t xml:space="preserve">Best Practice 1: Make Data Governance Explicit to Support Trust and Reuse</w:t>
      </w:r>
      <w:r>
        <w:br/>
      </w:r>
      <w:r>
        <w:t xml:space="preserve">Agencies should define roles, responsibilities, and decision-making processes through formal governance mechanisms such as data product charters.</w:t>
      </w:r>
      <w:r>
        <w:br/>
      </w:r>
      <w:r>
        <w:rPr>
          <w:i/>
          <w:iCs/>
        </w:rPr>
        <w:t xml:space="preserve">Practical application:</w:t>
      </w:r>
      <w:r>
        <w:t xml:space="preserve"> </w:t>
      </w:r>
      <w:r>
        <w:t xml:space="preserve">Use a DACI or RACI framework to assign maintenance responsibility and ensure continuity across staff turnover and institutional change.</w:t>
      </w:r>
    </w:p>
    <w:p>
      <w:pPr>
        <w:numPr>
          <w:ilvl w:val="0"/>
          <w:numId w:val="1004"/>
        </w:numPr>
      </w:pPr>
      <w:r>
        <w:rPr>
          <w:b/>
          <w:bCs/>
        </w:rPr>
        <w:t xml:space="preserve">Best Practice 6: Incentivize and Track Data Sharing and Reuse</w:t>
      </w:r>
      <w:r>
        <w:br/>
      </w:r>
      <w:r>
        <w:t xml:space="preserve">Visibility, credit, and metrics are critical for motivating data sharing. Agencies can embed citation guidance in metadata and track dataset reuse through COUNTER-compliant dashboards or DataCite APIs.</w:t>
      </w:r>
    </w:p>
    <w:p>
      <w:pPr>
        <w:numPr>
          <w:ilvl w:val="0"/>
          <w:numId w:val="1004"/>
        </w:numPr>
      </w:pPr>
      <w:r>
        <w:rPr>
          <w:b/>
          <w:bCs/>
        </w:rPr>
        <w:t xml:space="preserve">Best Practice 7: Build Community Through Co-Development and Mutual Benefit</w:t>
      </w:r>
      <w:r>
        <w:br/>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br/>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outlined above, agencies and researchers can transform legacy datasets into living resources, enabling reproducibility, easing collaboration, and accelerating insight across the salmon research and management community.</w:t>
      </w:r>
    </w:p>
    <w:bookmarkEnd w:id="27"/>
    <w:bookmarkEnd w:id="28"/>
    <w:bookmarkStart w:id="60" w:name="X2ba20a7acfdca1600e54a155bbc13fc38a51b25"/>
    <w:p>
      <w:pPr>
        <w:pStyle w:val="Heading1"/>
      </w:pPr>
      <w:r>
        <w:t xml:space="preserve">Table 1. Best Practices for Salmon Data Stewardship</w:t>
      </w:r>
    </w:p>
    <w:tbl>
      <w:tblPr>
        <w:tblStyle w:val="Table"/>
        <w:tblW w:type="pct" w:w="4988"/>
        <w:tblLayout w:type="fixed"/>
        <w:tblLook w:firstRow="1" w:lastRow="0" w:firstColumn="0" w:lastColumn="0" w:noHBand="0" w:noVBand="0" w:val="0020"/>
      </w:tblPr>
      <w:tblGrid>
        <w:gridCol w:w="1681"/>
        <w:gridCol w:w="3791"/>
        <w:gridCol w:w="2428"/>
      </w:tblGrid>
      <w:tr>
        <w:trPr>
          <w:tblHeader w:val="on"/>
        </w:trPr>
        <w:tc>
          <w:tcPr/>
          <w:p>
            <w:pPr>
              <w:pStyle w:val="Compact"/>
              <w:jc w:val="left"/>
            </w:pPr>
            <w:r>
              <w:rPr>
                <w:b/>
                <w:bCs/>
              </w:rPr>
              <w:t xml:space="preserve">Best Practice</w:t>
            </w:r>
          </w:p>
        </w:tc>
        <w:tc>
          <w:tcPr/>
          <w:p>
            <w:pPr>
              <w:pStyle w:val="Compact"/>
              <w:jc w:val="left"/>
            </w:pPr>
            <w:r>
              <w:rPr>
                <w:b/>
                <w:bCs/>
              </w:rPr>
              <w:t xml:space="preserve">Summary</w:t>
            </w:r>
          </w:p>
        </w:tc>
        <w:tc>
          <w:tcPr/>
          <w:p>
            <w:pPr>
              <w:pStyle w:val="Compact"/>
            </w:pPr>
            <w:r>
              <w:rPr>
                <w:b/>
                <w:bCs/>
              </w:rPr>
              <w:t xml:space="preserve">Practical Applications</w:t>
            </w:r>
          </w:p>
        </w:tc>
      </w:tr>
      <w:tr>
        <w:tc>
          <w:tcPr/>
          <w:p>
            <w:pPr>
              <w:pStyle w:val="Compact"/>
              <w:jc w:val="left"/>
            </w:pPr>
            <w:r>
              <w:t xml:space="preserve">1. Make Data Governance Explicit to Support Trust and Reuse</w:t>
            </w:r>
          </w:p>
        </w:tc>
        <w:tc>
          <w:tcPr/>
          <w:p>
            <w:pPr>
              <w:pStyle w:val="Compact"/>
              <w:jc w:val="left"/>
            </w:pPr>
            <w:r>
              <w:t xml:space="preserve">Establishing clear governance structures ensures quality, accountability, and compliance with FAIR and CARE principles. It enables trust and long-term stewardship across multi-organizational projects.</w:t>
            </w:r>
          </w:p>
        </w:tc>
        <w:tc>
          <w:tcPr/>
          <w:p>
            <w:pPr>
              <w:pStyle w:val="Compact"/>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structures, timelines, and agreements.</w:t>
            </w:r>
          </w:p>
        </w:tc>
      </w:tr>
      <w:tr>
        <w:tc>
          <w:tcPr/>
          <w:p>
            <w:pPr>
              <w:pStyle w:val="Compact"/>
              <w:jc w:val="left"/>
            </w:pPr>
            <w:r>
              <w:t xml:space="preserve">2. Reuse Proven Infrastructure to Save Time and Increase Interoperability</w:t>
            </w:r>
          </w:p>
        </w:tc>
        <w:tc>
          <w:tcPr/>
          <w:p>
            <w:pPr>
              <w:pStyle w:val="Compact"/>
              <w:jc w:val="left"/>
            </w:pPr>
            <w:r>
              <w:t xml:space="preserve">Leveraging existing platforms and technologies reduces costs and improves long-term interoperability and sustainability.</w:t>
            </w:r>
          </w:p>
        </w:tc>
        <w:tc>
          <w:tcPr/>
          <w:p>
            <w:pPr>
              <w:pStyle w:val="Compact"/>
            </w:pPr>
            <w:r>
              <w:t xml:space="preserve">- Use domain-specific repositories like OBIS or GBIF.</w:t>
            </w:r>
            <w:r>
              <w:br/>
            </w:r>
            <w:r>
              <w:t xml:space="preserve">- Publish and archive data with KNB or Zenodo.</w:t>
            </w:r>
          </w:p>
        </w:tc>
      </w:tr>
      <w:tr>
        <w:tc>
          <w:tcPr/>
          <w:p>
            <w:pPr>
              <w:pStyle w:val="Compact"/>
              <w:jc w:val="left"/>
            </w:pPr>
            <w:r>
              <w:t xml:space="preserve">3. Make Data, People, Projects, and Outputs Discoverable, Linked and Citable with PIDs</w:t>
            </w:r>
          </w:p>
        </w:tc>
        <w:tc>
          <w:tcPr/>
          <w:p>
            <w:pPr>
              <w:pStyle w:val="Compact"/>
              <w:jc w:val="left"/>
            </w:pPr>
            <w:r>
              <w:t xml:space="preserve">Persistent identifiers (PIDs) connect data with researchers, institutions, and outputs—supporting data citation, reuse, and automated attribution.</w:t>
            </w:r>
          </w:p>
        </w:tc>
        <w:tc>
          <w:tcPr/>
          <w:p>
            <w:pPr>
              <w:pStyle w:val="Compact"/>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pPr>
            <w:r>
              <w:t xml:space="preserve">4. Use Shared Data Models, Vocabularies and Metadata to Enable Integration</w:t>
            </w:r>
          </w:p>
        </w:tc>
        <w:tc>
          <w:tcPr/>
          <w:p>
            <w:pPr>
              <w:pStyle w:val="Compact"/>
              <w:jc w:val="left"/>
            </w:pPr>
            <w:r>
              <w:t xml:space="preserve">Common vocabularies, metadata standards, and ontologies support integration across systems and preserve semantic meaning.</w:t>
            </w:r>
          </w:p>
        </w:tc>
        <w:tc>
          <w:tcPr/>
          <w:p>
            <w:pPr>
              <w:pStyle w:val="Compact"/>
            </w:pPr>
            <w:r>
              <w:t xml:space="preserve">- Adopt ISO 19115, EML, or DataCite metadata standards.</w:t>
            </w:r>
            <w:r>
              <w:br/>
            </w:r>
            <w:r>
              <w:t xml:space="preserve">- Model datasets using the Darwin Core Data Package.</w:t>
            </w:r>
            <w:r>
              <w:br/>
            </w:r>
            <w:r>
              <w:t xml:space="preserve">- Use controlled vocabularies or ontologies with PIDs.</w:t>
            </w:r>
          </w:p>
        </w:tc>
      </w:tr>
      <w:tr>
        <w:tc>
          <w:tcPr/>
          <w:p>
            <w:pPr>
              <w:pStyle w:val="Compact"/>
              <w:jc w:val="left"/>
            </w:pPr>
            <w:r>
              <w:t xml:space="preserve">5. Store Data in Ways That Others Can Easily Access and Use</w:t>
            </w:r>
          </w:p>
        </w:tc>
        <w:tc>
          <w:tcPr/>
          <w:p>
            <w:pPr>
              <w:pStyle w:val="Compact"/>
              <w:jc w:val="left"/>
            </w:pPr>
            <w:r>
              <w:t xml:space="preserve">Structured and accessible data formats ensure usability, reduce wrangling, and support integration with analytical tools and applications.</w:t>
            </w:r>
          </w:p>
        </w:tc>
        <w:tc>
          <w:tcPr/>
          <w:p>
            <w:pPr>
              <w:pStyle w:val="Compact"/>
            </w:pPr>
            <w:r>
              <w:t xml:space="preserve">- Provide APIs using FastAPI, Flask, or Django REST.</w:t>
            </w:r>
            <w:r>
              <w:br/>
            </w:r>
            <w:r>
              <w:t xml:space="preserve">- Archive in trusted repositories (e.g., GBIF, FRDR, USGS).</w:t>
            </w:r>
            <w:r>
              <w:br/>
            </w:r>
            <w:r>
              <w:t xml:space="preserve">- Use GitHub-Zenodo for DOI assignment and preservation.</w:t>
            </w:r>
          </w:p>
        </w:tc>
      </w:tr>
      <w:tr>
        <w:tc>
          <w:tcPr/>
          <w:p>
            <w:pPr>
              <w:pStyle w:val="Compact"/>
              <w:jc w:val="left"/>
            </w:pPr>
            <w:r>
              <w:t xml:space="preserve">6. Incentivize and Track Data Sharing and Reuse</w:t>
            </w:r>
          </w:p>
        </w:tc>
        <w:tc>
          <w:tcPr/>
          <w:p>
            <w:pPr>
              <w:pStyle w:val="Compact"/>
              <w:jc w:val="left"/>
            </w:pPr>
            <w:r>
              <w:t xml:space="preserve">Recognizing data contributors and tracking reuse promotes a culture of sharing and supports professional recognition.</w:t>
            </w:r>
          </w:p>
        </w:tc>
        <w:tc>
          <w:tcPr/>
          <w:p>
            <w:pPr>
              <w:pStyle w:val="Compact"/>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pPr>
            <w:r>
              <w:t xml:space="preserve">7. Build Community Through Co-Development and Mutual Benefit</w:t>
            </w:r>
          </w:p>
        </w:tc>
        <w:tc>
          <w:tcPr/>
          <w:p>
            <w:pPr>
              <w:pStyle w:val="Compact"/>
              <w:jc w:val="left"/>
            </w:pPr>
            <w:r>
              <w:t xml:space="preserve">Engaging users early ensures tools and standards meet real-world needs and enhances long-term stewardship.</w:t>
            </w:r>
          </w:p>
        </w:tc>
        <w:tc>
          <w:tcPr/>
          <w:p>
            <w:pPr>
              <w:pStyle w:val="Compact"/>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Start w:id="29" w:name="conclusion"/>
    <w:p>
      <w:pPr>
        <w:pStyle w:val="Heading3"/>
      </w:pPr>
      <w:r>
        <w:t xml:space="preserve">CONCLUSION</w:t>
      </w:r>
    </w:p>
    <w:p>
      <w:pPr>
        <w:pStyle w:val="FirstParagraph"/>
      </w:pPr>
      <w:r>
        <w:t xml:space="preserve">We envision a future where salmon data are not locked in filing cabinets, buried in PDFs, or hidden in siloed spreadsheets, but instead flow seamlessly through a well-stewarded digital ecosystem. In this future, field biologists, Indigenous guardians, modelers, and policymakers interact with a living knowledge system—one that is transparent, discoverable, interoperable, and constantly evolving.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The process of aggregating and understanding salmon data has been fraught with challenges, from the complex life histories of the species, changing habitat conditions, and human effects to the jurisdictional and institutional silos that obstruct coordination. Salmon traverse political and ecosystem boundaries, yet our data systems often do not. The need of the hour is a strategy that is simple, flexible, and coordinated—one that embraces the FAIR principles while integrating the CARE principles to honor the sovereignty and knowledge systems of Indigenous communities.</w:t>
      </w:r>
    </w:p>
    <w:p>
      <w:pPr>
        <w:pStyle w:val="BodyText"/>
      </w:pPr>
      <w:r>
        <w:t xml:space="preserve">In the face of accelerating environmental change and rapid technological innovation, a transformative opportunity exists: to harness fragmented and heterogeneous datasets and translate them into standardized, interoperable data products. These products—rooted in community-endorsed standards and supported by persistent infrastructure—will allow researchers and resource managers to adopt data-intensive analytical approaches, automate updates to population indicators, and integrate diverse datasets into real-time decision-support tools. This marks a critical step toward transitioning salmon science into the</w:t>
      </w:r>
      <w:r>
        <w:t xml:space="preserve"> </w:t>
      </w:r>
      <w:r>
        <w:t xml:space="preserve">“Fourth Paradigm”</w:t>
      </w:r>
      <w:r>
        <w:t xml:space="preserve"> </w:t>
      </w:r>
      <w:r>
        <w:t xml:space="preserve">of discovery</w:t>
      </w:r>
      <w:r>
        <w:t xml:space="preserve">(Hey 2012)</w:t>
      </w:r>
      <w:r>
        <w:t xml:space="preserve">: one driven by data-intensive, cross-disciplinary synthesis.</w:t>
      </w:r>
    </w:p>
    <w:bookmarkEnd w:id="29"/>
    <w:bookmarkStart w:id="30" w:name="competing-interests"/>
    <w:p>
      <w:pPr>
        <w:pStyle w:val="Heading3"/>
      </w:pPr>
      <w:r>
        <w:t xml:space="preserve">Competing interests</w:t>
      </w:r>
    </w:p>
    <w:p>
      <w:pPr>
        <w:pStyle w:val="FirstParagraph"/>
      </w:pPr>
      <w:r>
        <w:t xml:space="preserve">A competing interests statement is required for all papers accepted by and published in</w:t>
      </w:r>
      <w:r>
        <w:t xml:space="preserve"> </w:t>
      </w:r>
      <w:r>
        <w:rPr>
          <w:i/>
          <w:iCs/>
        </w:rPr>
        <w:t xml:space="preserve">Scientific Data</w:t>
      </w:r>
      <w:r>
        <w:t xml:space="preserve">. If there is no conflict of interest, a statement declaring this must still be included in the manuscript.</w:t>
      </w:r>
    </w:p>
    <w:bookmarkEnd w:id="30"/>
    <w:bookmarkStart w:id="31" w:name="acknowledgements"/>
    <w:p>
      <w:pPr>
        <w:pStyle w:val="Heading3"/>
      </w:pPr>
      <w:r>
        <w:t xml:space="preserve">Acknowledgements</w:t>
      </w:r>
    </w:p>
    <w:bookmarkEnd w:id="31"/>
    <w:bookmarkStart w:id="59" w:name="references"/>
    <w:p>
      <w:pPr>
        <w:pStyle w:val="Heading3"/>
      </w:pPr>
      <w:r>
        <w:t xml:space="preserve">References</w:t>
      </w:r>
    </w:p>
    <w:bookmarkStart w:id="58" w:name="refs"/>
    <w:bookmarkStart w:id="33"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2">
        <w:r>
          <w:rPr>
            <w:rStyle w:val="Hyperlink"/>
          </w:rPr>
          <w:t xml:space="preserve">https://doi.org/10.1093/icesjms/fsac099</w:t>
        </w:r>
      </w:hyperlink>
      <w:r>
        <w:t xml:space="preserve">.</w:t>
      </w:r>
    </w:p>
    <w:bookmarkEnd w:id="33"/>
    <w:bookmarkStart w:id="35"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4">
        <w:r>
          <w:rPr>
            <w:rStyle w:val="Hyperlink"/>
          </w:rPr>
          <w:t xml:space="preserve">https://doi.org/10.5334/dsj-2019-031</w:t>
        </w:r>
      </w:hyperlink>
      <w:r>
        <w:t xml:space="preserve">.</w:t>
      </w:r>
    </w:p>
    <w:bookmarkEnd w:id="35"/>
    <w:bookmarkStart w:id="37"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6">
        <w:r>
          <w:rPr>
            <w:rStyle w:val="Hyperlink"/>
          </w:rPr>
          <w:t xml:space="preserve">https://www.psc.org/wp-content/uploads/wpfd/preview_files/The-Sociocultural-Significance-of-Salmon-to-Tribes-and-First-Nations(5da9942da9fb4fe0d77eb32bd6165e43).pdf</w:t>
        </w:r>
      </w:hyperlink>
      <w:r>
        <w:t xml:space="preserve">.</w:t>
      </w:r>
    </w:p>
    <w:bookmarkEnd w:id="37"/>
    <w:bookmarkStart w:id="39"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38">
        <w:r>
          <w:rPr>
            <w:rStyle w:val="Hyperlink"/>
          </w:rPr>
          <w:t xml:space="preserve">https://books.google.ca/books?id=I_S0xCME0CYC</w:t>
        </w:r>
      </w:hyperlink>
      <w:r>
        <w:t xml:space="preserve">.</w:t>
      </w:r>
    </w:p>
    <w:bookmarkEnd w:id="39"/>
    <w:bookmarkStart w:id="41" w:name="ref-hey2012"/>
    <w:p>
      <w:pPr>
        <w:pStyle w:val="Bibliography"/>
      </w:pPr>
      <w:r>
        <w:t xml:space="preserve">Hey, Tony. 2012.</w:t>
      </w:r>
      <w:r>
        <w:t xml:space="preserve"> </w:t>
      </w:r>
      <w:r>
        <w:t xml:space="preserve">“The Fourth Paradigm</w:t>
      </w:r>
      <w:r>
        <w:t xml:space="preserve"> </w:t>
      </w:r>
      <w:r>
        <w:t xml:space="preserve"> </w:t>
      </w:r>
      <w:r>
        <w:t xml:space="preserve">Data-Intensive Scientific Discovery.”</w:t>
      </w:r>
      <w:r>
        <w:t xml:space="preserve"> </w:t>
      </w:r>
      <w:r>
        <w:t xml:space="preserve">In, 1–1. Springer Berlin Heidelberg.</w:t>
      </w:r>
      <w:r>
        <w:t xml:space="preserve"> </w:t>
      </w:r>
      <w:hyperlink r:id="rId40">
        <w:r>
          <w:rPr>
            <w:rStyle w:val="Hyperlink"/>
          </w:rPr>
          <w:t xml:space="preserve">https://doi.org/10.1007/978-3-642-33299-9_1</w:t>
        </w:r>
      </w:hyperlink>
      <w:r>
        <w:t xml:space="preserve">.</w:t>
      </w:r>
    </w:p>
    <w:bookmarkEnd w:id="41"/>
    <w:bookmarkStart w:id="43"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2">
        <w:r>
          <w:rPr>
            <w:rStyle w:val="Hyperlink"/>
          </w:rPr>
          <w:t xml:space="preserve">https://doi.org/10.5751/ES-12117-260226</w:t>
        </w:r>
      </w:hyperlink>
      <w:r>
        <w:t xml:space="preserve">.</w:t>
      </w:r>
    </w:p>
    <w:bookmarkEnd w:id="43"/>
    <w:bookmarkStart w:id="45"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4">
        <w:r>
          <w:rPr>
            <w:rStyle w:val="Hyperlink"/>
          </w:rPr>
          <w:t xml:space="preserve">https://doi.org/10.1038/s41559-023-02161-2</w:t>
        </w:r>
      </w:hyperlink>
      <w:r>
        <w:t xml:space="preserve">.</w:t>
      </w:r>
    </w:p>
    <w:bookmarkEnd w:id="45"/>
    <w:bookmarkStart w:id="47"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6">
        <w:r>
          <w:rPr>
            <w:rStyle w:val="Hyperlink"/>
          </w:rPr>
          <w:t xml:space="preserve">https://doi.org/10.23849/npafcb7/6a4ddpde4</w:t>
        </w:r>
      </w:hyperlink>
      <w:r>
        <w:t xml:space="preserve">.</w:t>
      </w:r>
    </w:p>
    <w:bookmarkEnd w:id="47"/>
    <w:bookmarkStart w:id="49"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48">
        <w:r>
          <w:rPr>
            <w:rStyle w:val="Hyperlink"/>
          </w:rPr>
          <w:t xml:space="preserve">https://doi.org/10.1111/j.1442-9993.2011.02351.x</w:t>
        </w:r>
      </w:hyperlink>
      <w:r>
        <w:t xml:space="preserve">.</w:t>
      </w:r>
    </w:p>
    <w:bookmarkEnd w:id="49"/>
    <w:bookmarkStart w:id="51"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0">
        <w:r>
          <w:rPr>
            <w:rStyle w:val="Hyperlink"/>
          </w:rPr>
          <w:t xml:space="preserve">http://www.cohencommission.ca/</w:t>
        </w:r>
      </w:hyperlink>
      <w:r>
        <w:t xml:space="preserve">.</w:t>
      </w:r>
    </w:p>
    <w:bookmarkEnd w:id="51"/>
    <w:bookmarkStart w:id="53"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2">
        <w:r>
          <w:rPr>
            <w:rStyle w:val="Hyperlink"/>
          </w:rPr>
          <w:t xml:space="preserve">https://doi.org/10.1139/f2012-063</w:t>
        </w:r>
      </w:hyperlink>
      <w:r>
        <w:t xml:space="preserve">.</w:t>
      </w:r>
    </w:p>
    <w:bookmarkEnd w:id="53"/>
    <w:bookmarkStart w:id="55"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54">
        <w:r>
          <w:rPr>
            <w:rStyle w:val="Hyperlink"/>
          </w:rPr>
          <w:t xml:space="preserve">https://doi.org/10.3390/su5020478</w:t>
        </w:r>
      </w:hyperlink>
      <w:r>
        <w:t xml:space="preserve">.</w:t>
      </w:r>
    </w:p>
    <w:bookmarkEnd w:id="55"/>
    <w:bookmarkStart w:id="57"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56">
        <w:r>
          <w:rPr>
            <w:rStyle w:val="Hyperlink"/>
          </w:rPr>
          <w:t xml:space="preserve">https://doi.org/10.1038/sdata.2016.18</w:t>
        </w:r>
      </w:hyperlink>
      <w:r>
        <w:t xml:space="preserve">.</w:t>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cohencommission.ca/" TargetMode="External" /><Relationship Type="http://schemas.openxmlformats.org/officeDocument/2006/relationships/hyperlink" Id="rId38" Target="https://books.google.ca/books?id=I_S0xCME0CYC" TargetMode="External" /><Relationship Type="http://schemas.openxmlformats.org/officeDocument/2006/relationships/hyperlink" Id="rId40" Target="https://doi.org/10.1007/978-3-642-33299-9_1" TargetMode="External" /><Relationship Type="http://schemas.openxmlformats.org/officeDocument/2006/relationships/hyperlink" Id="rId44" Target="https://doi.org/10.1038/s41559-023-02161-2" TargetMode="External" /><Relationship Type="http://schemas.openxmlformats.org/officeDocument/2006/relationships/hyperlink" Id="rId56"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2" Target="https://doi.org/10.1139/f2012-063" TargetMode="External" /><Relationship Type="http://schemas.openxmlformats.org/officeDocument/2006/relationships/hyperlink" Id="rId46" Target="https://doi.org/10.23849/npafcb7/6a4ddpde4" TargetMode="External" /><Relationship Type="http://schemas.openxmlformats.org/officeDocument/2006/relationships/hyperlink" Id="rId54" Target="https://doi.org/10.3390/su5020478"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36" Target="https://www.psc.org/wp-content/uploads/wpfd/preview_files/The-Sociocultural-Significance-of-Salmon-to-Tribes-and-First-Nations(5da9942da9fb4fe0d77eb32bd6165e43).pdf" TargetMode="External" /></Relationships>
</file>

<file path=word/_rels/footnotes.xml.rels><?xml version="1.0" encoding="UTF-8"?><Relationships xmlns="http://schemas.openxmlformats.org/package/2006/relationships"><Relationship Type="http://schemas.openxmlformats.org/officeDocument/2006/relationships/hyperlink" Id="rId50" Target="http://www.cohencommission.ca/" TargetMode="External" /><Relationship Type="http://schemas.openxmlformats.org/officeDocument/2006/relationships/hyperlink" Id="rId38" Target="https://books.google.ca/books?id=I_S0xCME0CYC" TargetMode="External" /><Relationship Type="http://schemas.openxmlformats.org/officeDocument/2006/relationships/hyperlink" Id="rId40" Target="https://doi.org/10.1007/978-3-642-33299-9_1" TargetMode="External" /><Relationship Type="http://schemas.openxmlformats.org/officeDocument/2006/relationships/hyperlink" Id="rId44" Target="https://doi.org/10.1038/s41559-023-02161-2" TargetMode="External" /><Relationship Type="http://schemas.openxmlformats.org/officeDocument/2006/relationships/hyperlink" Id="rId56"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2" Target="https://doi.org/10.1139/f2012-063" TargetMode="External" /><Relationship Type="http://schemas.openxmlformats.org/officeDocument/2006/relationships/hyperlink" Id="rId46" Target="https://doi.org/10.23849/npafcb7/6a4ddpde4" TargetMode="External" /><Relationship Type="http://schemas.openxmlformats.org/officeDocument/2006/relationships/hyperlink" Id="rId54" Target="https://doi.org/10.3390/su5020478"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36" Target="https://www.psc.org/wp-content/uploads/wpfd/preview_files/The-Sociocultural-Significance-of-Salmon-to-Tribes-and-First-Nations(5da9942da9fb4fe0d77eb32bd6165e4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to mobilize salmon data—a practical guide for salmon biologists assuming responsibility for data stewardship</dc:title>
  <dc:creator/>
  <cp:keywords/>
  <dcterms:created xsi:type="dcterms:W3CDTF">2025-07-22T15:15:36Z</dcterms:created>
  <dcterms:modified xsi:type="dcterms:W3CDTF">2025-07-22T15:15:36Z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