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DRAFT-Best practices and practical applications for salmon data mobilization—a guide for salmon biologists assuming responsibility for data stewardship-DRAFT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in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To address this, we distill seven best practices for salmon data stewardship and demonstrate their application through a case study. We provide practical guidance for those transitioning into these essential stewardship roles, outlining real world examples, tools, and templates specific to the salmon research and management domain. We argue that effective salmon management hinges upon formally establishing data stewardship as a dedicated, institutionally supported professional role. We outline key best practices including both socio-cultural and technical solutions that collectively ensure salmon data meet modern open science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 and the ecosystems upon which they depend.</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(NOAA 2007; Plotkin 2014; 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grey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and Analyze Data in Ways That Others Can Easily Access, Use, and Trust</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t xml:space="preserve"> </w:t>
      </w:r>
      <w:r>
        <w:t xml:space="preserve">Agencies should define roles, responsibilities, and decision-making processes through formal governance mechanisms such as data product charters.Use a Data Management Plan with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t xml:space="preserve"> </w:t>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t xml:space="preserve"> </w:t>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detailed in</w:t>
      </w:r>
      <w:r>
        <w:t xml:space="preserve"> </w:t>
      </w:r>
      <w:hyperlink w:anchor="tbl-bestpractices">
        <w:r>
          <w:rPr>
            <w:rStyle w:val="Hyperlink"/>
          </w:rPr>
          <w:t xml:space="preserve">Table 1</w:t>
        </w:r>
      </w:hyperlink>
      <w:r>
        <w:t xml:space="preser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5000"/>
              <w:tblLayout w:type="fixed"/>
              <w:tblLook w:firstRow="1" w:lastRow="0" w:firstColumn="0" w:lastColumn="0" w:noHBand="0" w:noVBand="0" w:val="0020"/>
            </w:tblPr>
            <w:tblGrid>
              <w:gridCol w:w="5607"/>
              <w:gridCol w:w="2312"/>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Practical Applications</w:t>
                  </w:r>
                </w:p>
              </w:tc>
            </w:tr>
            <w:tr>
              <w:tc>
                <w:tcPr/>
                <w:p>
                  <w:pPr>
                    <w:pStyle w:val="Compact"/>
                    <w:jc w:val="left"/>
                    <w:jc w:val="center"/>
                  </w:pPr>
                  <w:r>
                    <w:rPr>
                      <w:b/>
                      <w:bCs/>
                    </w:rPr>
                    <w:t xml:space="preserve">1. Make Data Governance Explicit to Support Trust and Reuse.</w:t>
                  </w:r>
                  <w:r>
                    <w:t xml:space="preserve"> </w:t>
                  </w:r>
                  <w:r>
                    <w:t xml:space="preserve">Establishing clear governance structures ensures quality, accountability, and compliance with FAIR and CARE principles. It enables trust and long-term stewardship across multi-organizational projects.</w:t>
                  </w:r>
                </w:p>
              </w:tc>
              <w:tc>
                <w:tcPr/>
                <w:p>
                  <w:pPr>
                    <w:pStyle w:val="Compact"/>
                    <w:jc w:val="lef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standards, timelines, and agreements.</w:t>
                  </w:r>
                </w:p>
              </w:tc>
            </w:tr>
            <w:tr>
              <w:tc>
                <w:tcPr/>
                <w:p>
                  <w:pPr>
                    <w:pStyle w:val="Compact"/>
                    <w:jc w:val="left"/>
                    <w:jc w:val="center"/>
                  </w:pPr>
                  <w:r>
                    <w:rPr>
                      <w:b/>
                      <w:bCs/>
                    </w:rPr>
                    <w:t xml:space="preserve">2. Reuse Proven Infrastructure to Save Time and Increase Interoperability.</w:t>
                  </w:r>
                  <w:r>
                    <w:t xml:space="preserve"> </w:t>
                  </w:r>
                  <w:r>
                    <w:t xml:space="preserve">Leveraging existing platforms and technologies reduces costs and improves long-term interoperability and sustainability.</w:t>
                  </w:r>
                </w:p>
              </w:tc>
              <w:tc>
                <w:tcPr/>
                <w:p>
                  <w:pPr>
                    <w:pStyle w:val="Compact"/>
                    <w:jc w:val="left"/>
                    <w:jc w:val="center"/>
                  </w:pPr>
                  <w:r>
                    <w:t xml:space="preserve">- Use domain-specific repositories like OBIS or GBIF.</w:t>
                  </w:r>
                  <w:r>
                    <w:br/>
                  </w:r>
                  <w:r>
                    <w:t xml:space="preserve">- Publish and archive data with KNB or Zenodo.</w:t>
                  </w:r>
                </w:p>
              </w:tc>
            </w:tr>
            <w:tr>
              <w:tc>
                <w:tcPr/>
                <w:p>
                  <w:pPr>
                    <w:pStyle w:val="Compact"/>
                    <w:jc w:val="left"/>
                    <w:jc w:val="center"/>
                  </w:pPr>
                  <w:r>
                    <w:rPr>
                      <w:b/>
                      <w:bCs/>
                    </w:rPr>
                    <w:t xml:space="preserve">3. Make Data, People, Projects, and Outputs Discoverable, Linked and Citable with PIDs.</w:t>
                  </w:r>
                  <w:r>
                    <w:t xml:space="preserve"> </w:t>
                  </w:r>
                  <w:r>
                    <w:t xml:space="preserve">Persistent identifiers (PIDs) connect data with researchers, institutions, and outputs—supporting data citation, reuse, and automated attribution.</w:t>
                  </w:r>
                </w:p>
              </w:tc>
              <w:tc>
                <w:tcPr/>
                <w:p>
                  <w:pPr>
                    <w:pStyle w:val="Compact"/>
                    <w:jc w:val="lef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rPr>
                      <w:b/>
                      <w:bCs/>
                    </w:rPr>
                    <w:t xml:space="preserve">4. Use Shared Data Models, Ontologies and Metadata to Enable Integration.</w:t>
                  </w:r>
                  <w:r>
                    <w:t xml:space="preserve"> </w:t>
                  </w:r>
                  <w:r>
                    <w:t xml:space="preserve">Common vocabularies, metadata standards, and ontologies support integration across systems and preserve semantic meaning.</w:t>
                  </w:r>
                </w:p>
              </w:tc>
              <w:tc>
                <w:tcPr/>
                <w:p>
                  <w:pPr>
                    <w:pStyle w:val="Compact"/>
                    <w:jc w:val="left"/>
                    <w:jc w:val="center"/>
                  </w:pPr>
                  <w:r>
                    <w:t xml:space="preserve">- Adopt ISO 19115, EML, or DataCite metadata standards.</w:t>
                  </w:r>
                  <w:r>
                    <w:br/>
                  </w:r>
                  <w:r>
                    <w:t xml:space="preserve">- Re-use terms defined in Salmon Domain Ontology</w:t>
                  </w:r>
                  <w:r>
                    <w:br/>
                  </w:r>
                  <w:r>
                    <w:t xml:space="preserve">- Model datasets using the Darwin Core Data Package Model.</w:t>
                  </w:r>
                </w:p>
              </w:tc>
            </w:tr>
            <w:tr>
              <w:tc>
                <w:tcPr/>
                <w:p>
                  <w:pPr>
                    <w:pStyle w:val="Compact"/>
                    <w:jc w:val="left"/>
                    <w:jc w:val="center"/>
                  </w:pPr>
                  <w:r>
                    <w:rPr>
                      <w:b/>
                      <w:bCs/>
                    </w:rPr>
                    <w:t xml:space="preserve">5. Store and Analyze Data in Ways That Others Can Easily Access, Use and Trust.</w:t>
                  </w:r>
                  <w:r>
                    <w:t xml:space="preserve"> </w:t>
                  </w:r>
                  <w:r>
                    <w:t xml:space="preserve">Structured and accessible data formats ease reusability, and support integration with analytical tools and applications while data analyzed or wrangled using programmatic scripts (R, Python etc.) enable reproducibility and increase trust.</w:t>
                  </w:r>
                </w:p>
              </w:tc>
              <w:tc>
                <w:tcPr/>
                <w:p>
                  <w:pPr>
                    <w:pStyle w:val="Compact"/>
                    <w:jc w:val="left"/>
                    <w:jc w:val="center"/>
                  </w:pPr>
                  <w:r>
                    <w:t xml:space="preserve">- Provide APIs using FastAPI, Flask, or Django REST.</w:t>
                  </w:r>
                  <w:r>
                    <w:br/>
                  </w:r>
                  <w:r>
                    <w:t xml:space="preserve">- Archive in trusted repositories (e.g., GBIF, FRDR, USGS).</w:t>
                  </w:r>
                  <w:r>
                    <w:br/>
                  </w:r>
                  <w:r>
                    <w:t xml:space="preserve">- Write scripts in a programming language to wrangle, transform, and analyze data</w:t>
                  </w:r>
                  <w:r>
                    <w:br/>
                  </w:r>
                  <w:r>
                    <w:t xml:space="preserve">- Use GitHub to host code for collaboration and transparency and the GitHunbZenodo integration for DOI assignment and preservation.</w:t>
                  </w:r>
                </w:p>
              </w:tc>
            </w:tr>
            <w:tr>
              <w:tc>
                <w:tcPr/>
                <w:p>
                  <w:pPr>
                    <w:pStyle w:val="Compact"/>
                    <w:jc w:val="left"/>
                    <w:jc w:val="center"/>
                  </w:pPr>
                  <w:r>
                    <w:rPr>
                      <w:b/>
                      <w:bCs/>
                    </w:rPr>
                    <w:t xml:space="preserve">6. Incentivize and Track Data Sharing and Reuse.</w:t>
                  </w:r>
                  <w:r>
                    <w:t xml:space="preserve"> </w:t>
                  </w:r>
                  <w:r>
                    <w:t xml:space="preserve">Recognizing data contributors and tracking reuse promotes a culture of sharing and supports professional recognition.</w:t>
                  </w:r>
                </w:p>
              </w:tc>
              <w:tc>
                <w:tcPr/>
                <w:p>
                  <w:pPr>
                    <w:pStyle w:val="Compact"/>
                    <w:jc w:val="lef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rPr>
                      <w:b/>
                      <w:bCs/>
                    </w:rPr>
                    <w:t xml:space="preserve">7. Build Community Through Co-Development and Mutual Benefit.</w:t>
                  </w:r>
                  <w:r>
                    <w:t xml:space="preserve"> </w:t>
                  </w:r>
                  <w:r>
                    <w:t xml:space="preserve">Engaging users early ensures tools and standards meet real-world needs and enhances long-term stewardship.</w:t>
                  </w:r>
                </w:p>
              </w:tc>
              <w:tc>
                <w:tcPr/>
                <w:p>
                  <w:pPr>
                    <w:pStyle w:val="Compact"/>
                    <w:jc w:val="lef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8"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However, as noted by reports to the Cohen Commission</w:t>
      </w:r>
      <w:r>
        <w:t xml:space="preserve"> </w:t>
      </w:r>
      <w:r>
        <w:t xml:space="preserve">(Marmorek et al. 2011)</w:t>
      </w:r>
      <w:r>
        <w:t xml:space="preserve">, these data are often incomplete, inconsistently collected, and fragmented across institutions and jurisdictions—leading to missed opportunities for synthesis, insight, and action. This fragmentation hampers our ability to understand the drivers of change across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Roche et al. (2020)</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 By embedding these best practices into the everyday work of data generation, documentation, publication, and reuse, we can move salmon science decisively into the era of data-intensive discovery.</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7" w:name="references"/>
    <w:p>
      <w:pPr>
        <w:pStyle w:val="Heading3"/>
      </w:pPr>
      <w:r>
        <w:t xml:space="preserve">References</w:t>
      </w:r>
    </w:p>
    <w:bookmarkStart w:id="66"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2">
        <w:r>
          <w:rPr>
            <w:rStyle w:val="Hyperlink"/>
          </w:rPr>
          <w:t xml:space="preserve">https://doi.org/10.5751/ES-12117-260226</w:t>
        </w:r>
      </w:hyperlink>
      <w:r>
        <w:t xml:space="preserve">.</w:t>
      </w:r>
    </w:p>
    <w:bookmarkEnd w:id="43"/>
    <w:bookmarkStart w:id="45"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4">
        <w:r>
          <w:rPr>
            <w:rStyle w:val="Hyperlink"/>
          </w:rPr>
          <w:t xml:space="preserve">https://doi.org/10.1038/s41559-023-02161-2</w:t>
        </w:r>
      </w:hyperlink>
      <w:r>
        <w:t xml:space="preserve">.</w:t>
      </w:r>
    </w:p>
    <w:bookmarkEnd w:id="45"/>
    <w:bookmarkStart w:id="47"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6">
        <w:r>
          <w:rPr>
            <w:rStyle w:val="Hyperlink"/>
          </w:rPr>
          <w:t xml:space="preserve">https://doi.org/10.23849/npafcb7/6a4ddpde4</w:t>
        </w:r>
      </w:hyperlink>
      <w:r>
        <w:t xml:space="preserve">.</w:t>
      </w:r>
    </w:p>
    <w:bookmarkEnd w:id="47"/>
    <w:bookmarkStart w:id="49"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48">
        <w:r>
          <w:rPr>
            <w:rStyle w:val="Hyperlink"/>
          </w:rPr>
          <w:t xml:space="preserve">https://doi.org/10.1111/j.1442-9993.2011.02351.x</w:t>
        </w:r>
      </w:hyperlink>
      <w:r>
        <w:t xml:space="preserve">.</w:t>
      </w:r>
    </w:p>
    <w:bookmarkEnd w:id="49"/>
    <w:bookmarkStart w:id="51"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0">
        <w:r>
          <w:rPr>
            <w:rStyle w:val="Hyperlink"/>
          </w:rPr>
          <w:t xml:space="preserve">http://www.cohencommission.ca/</w:t>
        </w:r>
      </w:hyperlink>
      <w:r>
        <w:t xml:space="preserve">.</w:t>
      </w:r>
    </w:p>
    <w:bookmarkEnd w:id="51"/>
    <w:bookmarkStart w:id="53" w:name="ref-environm2007"/>
    <w:p>
      <w:pPr>
        <w:pStyle w:val="Bibliography"/>
      </w:pPr>
      <w:r>
        <w:t xml:space="preserve">NOAA. 2007.</w:t>
      </w:r>
      <w:r>
        <w:t xml:space="preserve"> </w:t>
      </w:r>
      <w:r>
        <w:rPr>
          <w:i/>
          <w:iCs/>
        </w:rPr>
        <w:t xml:space="preserve">Environmental Data Management at NOAA</w:t>
      </w:r>
      <w:r>
        <w:t xml:space="preserve">. National Academies Press.</w:t>
      </w:r>
      <w:r>
        <w:t xml:space="preserve"> </w:t>
      </w:r>
      <w:hyperlink r:id="rId52">
        <w:r>
          <w:rPr>
            <w:rStyle w:val="Hyperlink"/>
          </w:rPr>
          <w:t xml:space="preserve">https://doi.org/10.17226/12017</w:t>
        </w:r>
      </w:hyperlink>
      <w:r>
        <w:t xml:space="preserve">.</w:t>
      </w:r>
    </w:p>
    <w:bookmarkEnd w:id="53"/>
    <w:bookmarkStart w:id="55"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54">
        <w:r>
          <w:rPr>
            <w:rStyle w:val="Hyperlink"/>
          </w:rPr>
          <w:t xml:space="preserve">https://doi.org/10.5334/dsj-2018-015</w:t>
        </w:r>
      </w:hyperlink>
      <w:r>
        <w:t xml:space="preserve">.</w:t>
      </w:r>
    </w:p>
    <w:bookmarkEnd w:id="55"/>
    <w:bookmarkStart w:id="57"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6">
        <w:r>
          <w:rPr>
            <w:rStyle w:val="Hyperlink"/>
          </w:rPr>
          <w:t xml:space="preserve">https://doi.org/10.1139/f2012-063</w:t>
        </w:r>
      </w:hyperlink>
      <w:r>
        <w:t xml:space="preserve">.</w:t>
      </w:r>
    </w:p>
    <w:bookmarkEnd w:id="57"/>
    <w:bookmarkStart w:id="59" w:name="ref-plotkin2014"/>
    <w:p>
      <w:pPr>
        <w:pStyle w:val="Bibliography"/>
      </w:pPr>
      <w:r>
        <w:t xml:space="preserve">Plotkin, David. 2014.</w:t>
      </w:r>
      <w:r>
        <w:t xml:space="preserve"> </w:t>
      </w:r>
      <w:r>
        <w:rPr>
          <w:i/>
          <w:iCs/>
        </w:rPr>
        <w:t xml:space="preserve">Data Stewardship</w:t>
      </w:r>
      <w:r>
        <w:t xml:space="preserve">. Elsevier.</w:t>
      </w:r>
      <w:r>
        <w:t xml:space="preserve"> </w:t>
      </w:r>
      <w:hyperlink r:id="rId58">
        <w:r>
          <w:rPr>
            <w:rStyle w:val="Hyperlink"/>
          </w:rPr>
          <w:t xml:space="preserve">https://doi.org/10.1016/c2012-0-07057-3</w:t>
        </w:r>
      </w:hyperlink>
      <w:r>
        <w:t xml:space="preserve">.</w:t>
      </w:r>
    </w:p>
    <w:bookmarkEnd w:id="59"/>
    <w:bookmarkStart w:id="61" w:name="ref-roche2020"/>
    <w:p>
      <w:pPr>
        <w:pStyle w:val="Bibliography"/>
      </w:pPr>
      <w:r>
        <w:t xml:space="preserve">Roche, Dominique G., Monica Granados, Claire C. Austin, Scott Wilson, Gregory M. Mitchell, Paul A. Smith, Steven J. Cooke, and Joseph R. Bennett. 2020.</w:t>
      </w:r>
      <w:r>
        <w:t xml:space="preserve"> </w:t>
      </w:r>
      <w:r>
        <w:t xml:space="preserve">“Open Government Data and Environmental Science: A Federal Canadian Perspective.”</w:t>
      </w:r>
      <w:r>
        <w:t xml:space="preserve"> </w:t>
      </w:r>
      <w:r>
        <w:t xml:space="preserve">Edited by Tanzy Love.</w:t>
      </w:r>
      <w:r>
        <w:t xml:space="preserve"> </w:t>
      </w:r>
      <w:r>
        <w:rPr>
          <w:i/>
          <w:iCs/>
        </w:rPr>
        <w:t xml:space="preserve">FACETS</w:t>
      </w:r>
      <w:r>
        <w:t xml:space="preserve"> </w:t>
      </w:r>
      <w:r>
        <w:t xml:space="preserve">5 (1): 942–62.</w:t>
      </w:r>
      <w:r>
        <w:t xml:space="preserve"> </w:t>
      </w:r>
      <w:hyperlink r:id="rId60">
        <w:r>
          <w:rPr>
            <w:rStyle w:val="Hyperlink"/>
          </w:rPr>
          <w:t xml:space="preserve">https://doi.org/10.1139/facets-2020-0008</w:t>
        </w:r>
      </w:hyperlink>
      <w:r>
        <w:t xml:space="preserve">.</w:t>
      </w:r>
    </w:p>
    <w:bookmarkEnd w:id="61"/>
    <w:bookmarkStart w:id="63"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62">
        <w:r>
          <w:rPr>
            <w:rStyle w:val="Hyperlink"/>
          </w:rPr>
          <w:t xml:space="preserve">https://doi.org/10.3390/su5020478</w:t>
        </w:r>
      </w:hyperlink>
      <w:r>
        <w:t xml:space="preserve">.</w:t>
      </w:r>
    </w:p>
    <w:bookmarkEnd w:id="63"/>
    <w:bookmarkStart w:id="65"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64">
        <w:r>
          <w:rPr>
            <w:rStyle w:val="Hyperlink"/>
          </w:rPr>
          <w:t xml:space="preserve">https://doi.org/10.1038/sdata.2016.18</w:t>
        </w:r>
      </w:hyperlink>
      <w:r>
        <w:t xml:space="preserve">.</w:t>
      </w:r>
    </w:p>
    <w:bookmarkEnd w:id="65"/>
    <w:bookmarkEnd w:id="66"/>
    <w:bookmarkEnd w:id="67"/>
    <w:bookmarkEnd w:id="68"/>
    <w:bookmarkStart w:id="69" w:name="appendices"/>
    <w:p>
      <w:pPr>
        <w:pStyle w:val="Heading1"/>
      </w:pPr>
      <w:r>
        <w:t xml:space="preserve">Appendices</w:t>
      </w:r>
    </w:p>
    <w:bookmarkEnd w:id="69"/>
    <w:bookmarkStart w:id="98" w:name="section"/>
    <w:p>
      <w:pPr>
        <w:pStyle w:val="Heading1"/>
      </w:pPr>
    </w:p>
    <w:bookmarkStart w:id="97"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w:t>
      </w:r>
      <w:r>
        <w:t xml:space="preserve"> </w:t>
      </w:r>
      <w:r>
        <w:t xml:space="preserve">salmon data stewardship, along with practical applications and</w:t>
      </w:r>
      <w:r>
        <w:t xml:space="preserve"> </w:t>
      </w:r>
      <w:r>
        <w:t xml:space="preserve">real-world examples. This is not an exhaustive list, but rather a</w:t>
      </w:r>
      <w:r>
        <w:t xml:space="preserve"> </w:t>
      </w:r>
      <w:r>
        <w:t xml:space="preserve">starting point for salmon biologists and data stewards to implement</w:t>
      </w:r>
      <w:r>
        <w:t xml:space="preserve"> </w:t>
      </w:r>
      <w:r>
        <w:t xml:space="preserve">effective data stewardship practices in their work based on examples</w:t>
      </w:r>
      <w:r>
        <w:t xml:space="preserve"> </w:t>
      </w:r>
      <w:r>
        <w:t xml:space="preserve">from the salmon research and management community.</w:t>
      </w:r>
    </w:p>
    <w:bookmarkStart w:id="73"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w:t>
      </w:r>
      <w:r>
        <w:t xml:space="preserve"> </w:t>
      </w:r>
      <w:r>
        <w:t xml:space="preserve">ensuring data quality, long-term maintenance, accountability, and</w:t>
      </w:r>
      <w:r>
        <w:t xml:space="preserve"> </w:t>
      </w:r>
      <w:r>
        <w:t xml:space="preserve">compliance with community principles such as FAIR and CARE. Effective</w:t>
      </w:r>
      <w:r>
        <w:t xml:space="preserve"> </w:t>
      </w:r>
      <w:r>
        <w:t xml:space="preserve">governance fosters trust, facilitates data sharing, and reduces</w:t>
      </w:r>
      <w:r>
        <w:t xml:space="preserve"> </w:t>
      </w:r>
      <w:r>
        <w:t xml:space="preserve">ambiguity regarding decision making, and is critical for coordinating</w:t>
      </w:r>
      <w:r>
        <w:t xml:space="preserve"> </w:t>
      </w:r>
      <w:r>
        <w:t xml:space="preserve">both technical and sociocultural aspects of data stewardship.</w:t>
      </w:r>
    </w:p>
    <w:p>
      <w:pPr>
        <w:pStyle w:val="BodyText"/>
      </w:pPr>
      <w:r>
        <w:t xml:space="preserve">In collaborative international or multi-organizational settings,</w:t>
      </w:r>
      <w:r>
        <w:t xml:space="preserve"> </w:t>
      </w:r>
      <w:r>
        <w:t xml:space="preserve">establishing governance at the outset of a project is crucial for</w:t>
      </w:r>
      <w:r>
        <w:t xml:space="preserve"> </w:t>
      </w:r>
      <w:r>
        <w:t xml:space="preserve">aligning diverse groups, including biologists, data managers, Indigenous</w:t>
      </w:r>
      <w:r>
        <w:t xml:space="preserve"> </w:t>
      </w:r>
      <w:r>
        <w:t xml:space="preserve">communities, policymakers, and other participants. Early governance</w:t>
      </w:r>
      <w:r>
        <w:t xml:space="preserve"> </w:t>
      </w:r>
      <w:r>
        <w:t xml:space="preserve">planning should establish clear, collaborative frameworks that respect</w:t>
      </w:r>
      <w:r>
        <w:t xml:space="preserve"> </w:t>
      </w:r>
      <w:r>
        <w:t xml:space="preserve">each group’s expertise and needs from the beginning. </w:t>
      </w:r>
    </w:p>
    <w:bookmarkStart w:id="72" w:name="practical-applications"/>
    <w:p>
      <w:pPr>
        <w:pStyle w:val="Heading5"/>
      </w:pPr>
      <w:r>
        <w:t xml:space="preserve">Practical Applications:</w:t>
      </w:r>
    </w:p>
    <w:p>
      <w:pPr>
        <w:pStyle w:val="FirstParagraph"/>
      </w:pPr>
      <w:r>
        <w:t xml:space="preserve">1.1 Document roles and responsibilities clearly at project start using a</w:t>
      </w:r>
      <w:r>
        <w:t xml:space="preserve"> </w:t>
      </w:r>
      <w:r>
        <w:t xml:space="preserve">Project or Data Product Governance Charter and structured frameworks</w:t>
      </w:r>
      <w:r>
        <w:t xml:space="preserve"> </w:t>
      </w:r>
      <w:r>
        <w:t xml:space="preserve">(e.g., DACI or RACI charts) that relate to organizational data policies.</w:t>
      </w:r>
    </w:p>
    <w:p>
      <w:pPr>
        <w:numPr>
          <w:ilvl w:val="0"/>
          <w:numId w:val="1005"/>
        </w:numPr>
      </w:pPr>
      <w:hyperlink r:id="rId70">
        <w:r>
          <w:rPr>
            <w:rStyle w:val="Hyperlink"/>
          </w:rPr>
          <w:t xml:space="preserve">Example of a Data Management Plan from the California Department of</w:t>
        </w:r>
        <w:r>
          <w:rPr>
            <w:rStyle w:val="Hyperlink"/>
          </w:rPr>
          <w:t xml:space="preserve"> </w:t>
        </w:r>
        <w:r>
          <w:rPr>
            <w:rStyle w:val="Hyperlink"/>
          </w:rPr>
          <w:t xml:space="preserve">Water</w:t>
        </w:r>
        <w:r>
          <w:rPr>
            <w:rStyle w:val="Hyperlink"/>
          </w:rPr>
          <w:t xml:space="preserve"> </w:t>
        </w:r>
        <w:r>
          <w:rPr>
            <w:rStyle w:val="Hyperlink"/>
          </w:rPr>
          <w:t xml:space="preserve">Resources</w:t>
        </w:r>
      </w:hyperlink>
    </w:p>
    <w:p>
      <w:pPr>
        <w:numPr>
          <w:ilvl w:val="0"/>
          <w:numId w:val="1005"/>
        </w:numPr>
      </w:pPr>
      <w:hyperlink r:id="rId71">
        <w:r>
          <w:rPr>
            <w:rStyle w:val="Hyperlink"/>
          </w:rPr>
          <w:t xml:space="preserve">Data Management Plan</w:t>
        </w:r>
        <w:r>
          <w:rPr>
            <w:rStyle w:val="Hyperlink"/>
          </w:rPr>
          <w:t xml:space="preserve"> </w:t>
        </w:r>
        <w:r>
          <w:rPr>
            <w:rStyle w:val="Hyperlink"/>
          </w:rPr>
          <w:t xml:space="preserve">Templates</w:t>
        </w:r>
      </w:hyperlink>
    </w:p>
    <w:p>
      <w:pPr>
        <w:pStyle w:val="FirstParagraph"/>
      </w:pPr>
      <w:r>
        <w:t xml:space="preserve">1.2 Integrate CARE principles to ensure ethical governance and respect</w:t>
      </w:r>
      <w:r>
        <w:t xml:space="preserve"> </w:t>
      </w:r>
      <w:r>
        <w:t xml:space="preserve">Indigenous data rights.</w:t>
      </w:r>
    </w:p>
    <w:p>
      <w:pPr>
        <w:pStyle w:val="FirstParagraph"/>
      </w:pPr>
      <w:r>
        <w:t xml:space="preserve">1.3 Create a governance or oversight committee for regular data practice</w:t>
      </w:r>
      <w:r>
        <w:t xml:space="preserve"> </w:t>
      </w:r>
      <w:r>
        <w:t xml:space="preserve">reviews and decision making regarding data structures, timelines, data</w:t>
      </w:r>
      <w:r>
        <w:t xml:space="preserve"> </w:t>
      </w:r>
      <w:r>
        <w:t xml:space="preserve">sharing agreements and interoperability protocols</w:t>
      </w:r>
    </w:p>
    <w:bookmarkEnd w:id="72"/>
    <w:bookmarkEnd w:id="73"/>
    <w:bookmarkStart w:id="76"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w:t>
      </w:r>
      <w:r>
        <w:t xml:space="preserve"> </w:t>
      </w:r>
      <w:r>
        <w:t xml:space="preserve">existing platforms and technologies reduces costs, accelerates</w:t>
      </w:r>
      <w:r>
        <w:t xml:space="preserve"> </w:t>
      </w:r>
      <w:r>
        <w:t xml:space="preserve">implementation, and increases data interoperability. Building modular,</w:t>
      </w:r>
      <w:r>
        <w:t xml:space="preserve"> </w:t>
      </w:r>
      <w:r>
        <w:t xml:space="preserve">interoperable systems grounded in proven technologies ensures</w:t>
      </w:r>
      <w:r>
        <w:t xml:space="preserve"> </w:t>
      </w:r>
      <w:r>
        <w:t xml:space="preserve">sustainable long-term stewardship.</w:t>
      </w:r>
    </w:p>
    <w:bookmarkStart w:id="75" w:name="practical-applications-1"/>
    <w:p>
      <w:pPr>
        <w:pStyle w:val="Heading5"/>
      </w:pPr>
      <w:r>
        <w:t xml:space="preserve">Practical Applications:</w:t>
      </w:r>
    </w:p>
    <w:p>
      <w:pPr>
        <w:pStyle w:val="FirstParagraph"/>
      </w:pPr>
      <w:r>
        <w:t xml:space="preserve">2.1</w:t>
      </w:r>
      <w:r>
        <w:t xml:space="preserve"> </w:t>
      </w:r>
      <w:hyperlink r:id="rId74">
        <w:r>
          <w:rPr>
            <w:rStyle w:val="Hyperlink"/>
          </w:rPr>
          <w:t xml:space="preserve">Use the Ocean Biodiversity Information System or the Global</w:t>
        </w:r>
        <w:r>
          <w:rPr>
            <w:rStyle w:val="Hyperlink"/>
          </w:rPr>
          <w:t xml:space="preserve"> </w:t>
        </w:r>
        <w:r>
          <w:rPr>
            <w:rStyle w:val="Hyperlink"/>
          </w:rPr>
          <w:t xml:space="preserve">Biodiversity Information Facility to standardize and host your</w:t>
        </w:r>
        <w:r>
          <w:rPr>
            <w:rStyle w:val="Hyperlink"/>
          </w:rPr>
          <w:t xml:space="preserve"> </w:t>
        </w:r>
        <w:r>
          <w:rPr>
            <w:rStyle w:val="Hyperlink"/>
          </w:rPr>
          <w:t xml:space="preserve">data</w:t>
        </w:r>
      </w:hyperlink>
    </w:p>
    <w:p>
      <w:pPr>
        <w:pStyle w:val="BodyText"/>
      </w:pPr>
      <w:r>
        <w:t xml:space="preserve">2.1 Use free data catalogue services such as the Knowledge Network for</w:t>
      </w:r>
      <w:r>
        <w:t xml:space="preserve"> </w:t>
      </w:r>
      <w:r>
        <w:t xml:space="preserve">Biocomplexity (KNB) or Zenodo</w:t>
      </w:r>
    </w:p>
    <w:bookmarkEnd w:id="75"/>
    <w:bookmarkEnd w:id="76"/>
    <w:bookmarkStart w:id="79"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w:t>
      </w:r>
      <w:r>
        <w:t xml:space="preserve"> </w:t>
      </w:r>
      <w:r>
        <w:t xml:space="preserve">(DOI) are essential for tracking the provenance and reuse of data, and</w:t>
      </w:r>
      <w:r>
        <w:t xml:space="preserve"> </w:t>
      </w:r>
      <w:r>
        <w:t xml:space="preserve">linking data, protocols, organizations and people. They allow for</w:t>
      </w:r>
      <w:r>
        <w:t xml:space="preserve"> </w:t>
      </w:r>
      <w:r>
        <w:t xml:space="preserve">consistent referencing, integration across systems, and automated credit</w:t>
      </w:r>
      <w:r>
        <w:t xml:space="preserve"> </w:t>
      </w:r>
      <w:r>
        <w:t xml:space="preserve">via data citation.</w:t>
      </w:r>
    </w:p>
    <w:bookmarkStart w:id="78" w:name="practical-applications-2"/>
    <w:p>
      <w:pPr>
        <w:pStyle w:val="Heading5"/>
      </w:pPr>
      <w:r>
        <w:t xml:space="preserve">Practical Applications:</w:t>
      </w:r>
    </w:p>
    <w:p>
      <w:pPr>
        <w:pStyle w:val="FirstParagraph"/>
      </w:pPr>
      <w:r>
        <w:t xml:space="preserve">3.1 Encourage researchers to register for an</w:t>
      </w:r>
      <w:r>
        <w:t xml:space="preserve"> </w:t>
      </w:r>
      <w:hyperlink r:id="rId77">
        <w:r>
          <w:rPr>
            <w:rStyle w:val="Hyperlink"/>
          </w:rPr>
          <w:t xml:space="preserve">Open Researcher and</w:t>
        </w:r>
        <w:r>
          <w:rPr>
            <w:rStyle w:val="Hyperlink"/>
          </w:rPr>
          <w:t xml:space="preserve"> </w:t>
        </w:r>
        <w:r>
          <w:rPr>
            <w:rStyle w:val="Hyperlink"/>
          </w:rPr>
          <w:t xml:space="preserve">Contributor ID (ORCID)</w:t>
        </w:r>
      </w:hyperlink>
      <w:r>
        <w:t xml:space="preserve"> </w:t>
      </w:r>
      <w:r>
        <w:t xml:space="preserve">and include ORCIDs in</w:t>
      </w:r>
      <w:r>
        <w:t xml:space="preserve"> </w:t>
      </w:r>
      <w:r>
        <w:t xml:space="preserve">metadata records and submission forms</w:t>
      </w:r>
    </w:p>
    <w:p>
      <w:pPr>
        <w:pStyle w:val="BodyText"/>
      </w:pPr>
      <w:r>
        <w:t xml:space="preserve">3.2 Register your organization with the Research Organization Registry</w:t>
      </w:r>
      <w:r>
        <w:t xml:space="preserve"> </w:t>
      </w:r>
      <w:r>
        <w:t xml:space="preserve">(ROR) and use ROR IDs to identify institutions involved in salmon</w:t>
      </w:r>
      <w:r>
        <w:t xml:space="preserve"> </w:t>
      </w:r>
      <w:r>
        <w:t xml:space="preserve">science.</w:t>
      </w:r>
    </w:p>
    <w:p>
      <w:pPr>
        <w:pStyle w:val="BodyText"/>
      </w:pPr>
      <w:r>
        <w:t xml:space="preserve">3.3 Assign DOIs to data packages, protocols, and reports using DataCite.</w:t>
      </w:r>
    </w:p>
    <w:p>
      <w:pPr>
        <w:pStyle w:val="BodyText"/>
      </w:pPr>
      <w:r>
        <w:t xml:space="preserve">3.4 Embed DOIs in dashboards, figures, and metadata so they persist in</w:t>
      </w:r>
      <w:r>
        <w:t xml:space="preserve"> </w:t>
      </w:r>
      <w:r>
        <w:t xml:space="preserve">derivative products.</w:t>
      </w:r>
    </w:p>
    <w:bookmarkEnd w:id="78"/>
    <w:bookmarkEnd w:id="79"/>
    <w:bookmarkStart w:id="8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w:t>
      </w:r>
      <w:r>
        <w:t xml:space="preserve"> </w:t>
      </w:r>
      <w:r>
        <w:t xml:space="preserve">correctly and integrated across systems. Controlled vocabularies,</w:t>
      </w:r>
      <w:r>
        <w:t xml:space="preserve"> </w:t>
      </w:r>
      <w:r>
        <w:t xml:space="preserve">community ontologies, and structured metadata schemas allow data to</w:t>
      </w:r>
      <w:r>
        <w:t xml:space="preserve"> </w:t>
      </w:r>
      <w:r>
        <w:t xml:space="preserve">retain its full semantic meaning.</w:t>
      </w:r>
    </w:p>
    <w:bookmarkStart w:id="83" w:name="practical-applications-3"/>
    <w:p>
      <w:pPr>
        <w:pStyle w:val="Heading5"/>
      </w:pPr>
      <w:r>
        <w:t xml:space="preserve">Practical Applications:</w:t>
      </w:r>
    </w:p>
    <w:p>
      <w:pPr>
        <w:pStyle w:val="FirstParagraph"/>
      </w:pPr>
      <w:r>
        <w:t xml:space="preserve">4.1 Configure data catalogues and metadata intake tools to accept</w:t>
      </w:r>
      <w:r>
        <w:t xml:space="preserve"> </w:t>
      </w:r>
      <w:r>
        <w:t xml:space="preserve">Internationally recognized metadata schemas such as ISO 19115,</w:t>
      </w:r>
      <w:r>
        <w:t xml:space="preserve"> </w:t>
      </w:r>
      <w:r>
        <w:t xml:space="preserve">Ecological Metadata Language (EML), or DataCite.</w:t>
      </w:r>
    </w:p>
    <w:p>
      <w:pPr>
        <w:pStyle w:val="Compact"/>
        <w:numPr>
          <w:ilvl w:val="0"/>
          <w:numId w:val="1007"/>
        </w:numPr>
      </w:pPr>
      <w:r>
        <w:t xml:space="preserve">The Pacific Salmon Foundation’s data portal asks contributors to</w:t>
      </w:r>
      <w:r>
        <w:t xml:space="preserve"> </w:t>
      </w:r>
      <w:r>
        <w:t xml:space="preserve">provide metadata in ISO 19115 or other standard formats.</w:t>
      </w:r>
      <w:r>
        <w:t xml:space="preserve"> </w:t>
      </w:r>
      <w:r>
        <w:t xml:space="preserve">marinedata.psf.ca</w:t>
      </w:r>
      <w:r>
        <w:t xml:space="preserve">,</w:t>
      </w:r>
      <w:r>
        <w:t xml:space="preserve"> </w:t>
      </w:r>
      <w:r>
        <w:t xml:space="preserve">ensuring consistent metadata structure</w:t>
      </w:r>
    </w:p>
    <w:p>
      <w:pPr>
        <w:pStyle w:val="FirstParagraph"/>
      </w:pPr>
      <w:r>
        <w:t xml:space="preserve">4.2 Model datasets and databases using the</w:t>
      </w:r>
      <w:r>
        <w:t xml:space="preserve"> </w:t>
      </w:r>
      <w:hyperlink r:id="rId80">
        <w:r>
          <w:rPr>
            <w:rStyle w:val="Hyperlink"/>
          </w:rPr>
          <w:t xml:space="preserve">Darwin Core</w:t>
        </w:r>
        <w:r>
          <w:rPr>
            <w:rStyle w:val="Hyperlink"/>
          </w:rPr>
          <w:t xml:space="preserve"> </w:t>
        </w:r>
        <w:r>
          <w:rPr>
            <w:rStyle w:val="Hyperlink"/>
          </w:rPr>
          <w:t xml:space="preserve">Standard</w:t>
        </w:r>
      </w:hyperlink>
    </w:p>
    <w:p>
      <w:pPr>
        <w:numPr>
          <w:ilvl w:val="0"/>
          <w:numId w:val="1008"/>
        </w:numPr>
      </w:pPr>
      <w:r>
        <w:t xml:space="preserve">The Hakai Institute Juvenile Salmon Program publishes their data to</w:t>
      </w:r>
      <w:r>
        <w:t xml:space="preserve"> </w:t>
      </w:r>
      <w:r>
        <w:t xml:space="preserve">OBIS using Darwin Core:</w:t>
      </w:r>
      <w:r>
        <w:t xml:space="preserve"> </w:t>
      </w:r>
      <w:hyperlink r:id="rId81">
        <w:r>
          <w:rPr>
            <w:rStyle w:val="Hyperlink"/>
          </w:rPr>
          <w:t xml:space="preserve">Hakai Institute Juvenile Salmon</w:t>
        </w:r>
        <w:r>
          <w:rPr>
            <w:rStyle w:val="Hyperlink"/>
          </w:rPr>
          <w:t xml:space="preserve"> </w:t>
        </w:r>
        <w:r>
          <w:rPr>
            <w:rStyle w:val="Hyperlink"/>
          </w:rPr>
          <w:t xml:space="preserve">Program</w:t>
        </w:r>
      </w:hyperlink>
    </w:p>
    <w:p>
      <w:pPr>
        <w:numPr>
          <w:ilvl w:val="0"/>
          <w:numId w:val="1008"/>
        </w:numPr>
      </w:pPr>
      <w:r>
        <w:t xml:space="preserve">The International Year of the Salmon High Seas Expeditions data</w:t>
      </w:r>
      <w:r>
        <w:t xml:space="preserve"> </w:t>
      </w:r>
      <w:r>
        <w:t xml:space="preserve">moblization efforts [</w:t>
      </w:r>
      <w:r>
        <w:t xml:space="preserve">Johnson and Stap (2024)</w:t>
      </w:r>
      <w:r>
        <w:t xml:space="preserve">] published their data to OBIS:</w:t>
      </w:r>
      <w:r>
        <w:t xml:space="preserve"> </w:t>
      </w:r>
      <w:hyperlink r:id="rId82">
        <w:r>
          <w:rPr>
            <w:rStyle w:val="Hyperlink"/>
          </w:rPr>
          <w:t xml:space="preserve">https://www.gbif.org/dataset/search?project_id=IYS</w:t>
        </w:r>
      </w:hyperlink>
    </w:p>
    <w:p>
      <w:pPr>
        <w:pStyle w:val="FirstParagraph"/>
      </w:pPr>
      <w:r>
        <w:t xml:space="preserve">4.3 Re-use or publish data terms that are shared online using a</w:t>
      </w:r>
      <w:r>
        <w:t xml:space="preserve"> </w:t>
      </w:r>
      <w:r>
        <w:t xml:space="preserve">persistent identifier in a controlled vocabulary or ontology</w:t>
      </w:r>
    </w:p>
    <w:p>
      <w:pPr>
        <w:numPr>
          <w:ilvl w:val="0"/>
          <w:numId w:val="1009"/>
        </w:numPr>
      </w:pPr>
      <w:r>
        <w:t xml:space="preserve">State of Alaska Salmon and People…</w:t>
      </w:r>
    </w:p>
    <w:p>
      <w:pPr>
        <w:numPr>
          <w:ilvl w:val="0"/>
          <w:numId w:val="1009"/>
        </w:numPr>
      </w:pPr>
      <w:r>
        <w:t xml:space="preserve">Measurement Types in OBIS…</w:t>
      </w:r>
    </w:p>
    <w:bookmarkEnd w:id="83"/>
    <w:bookmarkEnd w:id="84"/>
    <w:bookmarkStart w:id="88" w:name="Xb70ccb81e1d20e6b09946f09c4288cc7dc4c259"/>
    <w:p>
      <w:pPr>
        <w:pStyle w:val="Heading4"/>
      </w:pPr>
      <w:r>
        <w:rPr>
          <w:b/>
          <w:bCs/>
        </w:rPr>
        <w:t xml:space="preserve">Best Practice 5: Store and Analyze Data in Ways That Others Can Easily Access, Use, and Trust</w:t>
      </w:r>
    </w:p>
    <w:p>
      <w:pPr>
        <w:pStyle w:val="FirstParagraph"/>
      </w:pPr>
      <w:r>
        <w:t xml:space="preserve">Making data easily accessible promotes its use in research and</w:t>
      </w:r>
      <w:r>
        <w:t xml:space="preserve"> </w:t>
      </w:r>
      <w:r>
        <w:t xml:space="preserve">management, enabling seamless integration with tools and applications.</w:t>
      </w:r>
      <w:r>
        <w:t xml:space="preserve"> </w:t>
      </w:r>
      <w:r>
        <w:t xml:space="preserve">Ensuring accessible, persistent data storage requires more than just</w:t>
      </w:r>
      <w:r>
        <w:t xml:space="preserve"> </w:t>
      </w:r>
      <w:r>
        <w:t xml:space="preserve">file hosting. Data should be structured, accessible via API, and stored</w:t>
      </w:r>
      <w:r>
        <w:t xml:space="preserve"> </w:t>
      </w:r>
      <w:r>
        <w:t xml:space="preserve">in repositories that support long-term preservation.</w:t>
      </w:r>
    </w:p>
    <w:bookmarkStart w:id="87" w:name="practical-applications-4"/>
    <w:p>
      <w:pPr>
        <w:pStyle w:val="Heading5"/>
      </w:pPr>
      <w:r>
        <w:t xml:space="preserve">Practical Applications:</w:t>
      </w:r>
    </w:p>
    <w:p>
      <w:pPr>
        <w:pStyle w:val="FirstParagraph"/>
      </w:pPr>
      <w:r>
        <w:t xml:space="preserve">5.1 Provide Direct Data Access via Application Programming Interfaces</w:t>
      </w:r>
      <w:r>
        <w:t xml:space="preserve"> </w:t>
      </w:r>
      <w:r>
        <w:t xml:space="preserve">(APIs) using tools such as FastAPI, Flask, or Django REST Framework that</w:t>
      </w:r>
      <w:r>
        <w:t xml:space="preserve"> </w:t>
      </w:r>
      <w:r>
        <w:t xml:space="preserve">allows users to access, filter, and retrieve data programmatically,</w:t>
      </w:r>
      <w:r>
        <w:t xml:space="preserve"> </w:t>
      </w:r>
      <w:r>
        <w:t xml:space="preserve">facilitating automation and integration into analytical tools and</w:t>
      </w:r>
      <w:r>
        <w:t xml:space="preserve"> </w:t>
      </w:r>
      <w:r>
        <w:t xml:space="preserve">decision-support systems</w:t>
      </w:r>
    </w:p>
    <w:p>
      <w:pPr>
        <w:pStyle w:val="Compact"/>
        <w:numPr>
          <w:ilvl w:val="0"/>
          <w:numId w:val="1010"/>
        </w:numPr>
      </w:pPr>
      <w:r>
        <w:t xml:space="preserve">The Pacific States Marine Fisheries Commission make’s their</w:t>
      </w:r>
      <w:r>
        <w:t xml:space="preserve"> </w:t>
      </w:r>
      <w:hyperlink r:id="rId85">
        <w:r>
          <w:rPr>
            <w:rStyle w:val="Hyperlink"/>
          </w:rPr>
          <w:t xml:space="preserve">PIT Tag</w:t>
        </w:r>
        <w:r>
          <w:rPr>
            <w:rStyle w:val="Hyperlink"/>
          </w:rPr>
          <w:t xml:space="preserve"> </w:t>
        </w:r>
        <w:r>
          <w:rPr>
            <w:rStyle w:val="Hyperlink"/>
          </w:rPr>
          <w:t xml:space="preserve">Information</w:t>
        </w:r>
        <w:r>
          <w:rPr>
            <w:rStyle w:val="Hyperlink"/>
          </w:rPr>
          <w:t xml:space="preserve"> </w:t>
        </w:r>
        <w:r>
          <w:rPr>
            <w:rStyle w:val="Hyperlink"/>
          </w:rPr>
          <w:t xml:space="preserve">System</w:t>
        </w:r>
      </w:hyperlink>
      <w:r>
        <w:t xml:space="preserve"> </w:t>
      </w:r>
      <w:r>
        <w:t xml:space="preserve">data accessible via the</w:t>
      </w:r>
      <w:r>
        <w:t xml:space="preserve"> </w:t>
      </w:r>
      <w:hyperlink r:id="rId86">
        <w:r>
          <w:rPr>
            <w:rStyle w:val="Hyperlink"/>
          </w:rPr>
          <w:t xml:space="preserve">PTAGIS</w:t>
        </w:r>
        <w:r>
          <w:rPr>
            <w:rStyle w:val="Hyperlink"/>
          </w:rPr>
          <w:t xml:space="preserve"> </w:t>
        </w:r>
        <w:r>
          <w:rPr>
            <w:rStyle w:val="Hyperlink"/>
          </w:rPr>
          <w:t xml:space="preserve">API</w:t>
        </w:r>
      </w:hyperlink>
    </w:p>
    <w:p>
      <w:pPr>
        <w:pStyle w:val="FirstParagraph"/>
      </w:pPr>
      <w:r>
        <w:t xml:space="preserve">5.2 Archive data in certified long-term, domain-specific repositories</w:t>
      </w:r>
      <w:r>
        <w:t xml:space="preserve"> </w:t>
      </w:r>
      <w:r>
        <w:t xml:space="preserve">such as the Global Biodiversity Information Facility, the Federated</w:t>
      </w:r>
      <w:r>
        <w:t xml:space="preserve"> </w:t>
      </w:r>
      <w:r>
        <w:t xml:space="preserve">Research Data Repository (FRDR), or NOAA’s NCEI, USGS ScienceBase, or</w:t>
      </w:r>
      <w:r>
        <w:t xml:space="preserve"> </w:t>
      </w:r>
      <w:r>
        <w:t xml:space="preserve">EMODnet</w:t>
      </w:r>
    </w:p>
    <w:p>
      <w:pPr>
        <w:pStyle w:val="Compact"/>
        <w:numPr>
          <w:ilvl w:val="0"/>
          <w:numId w:val="1011"/>
        </w:numPr>
      </w:pPr>
      <w:r>
        <w:t xml:space="preserve">TODO</w:t>
      </w:r>
    </w:p>
    <w:p>
      <w:pPr>
        <w:pStyle w:val="FirstParagraph"/>
      </w:pPr>
      <w:r>
        <w:t xml:space="preserve">5.3 Leverage the integration between GitHub and Zenodo to automate</w:t>
      </w:r>
      <w:r>
        <w:t xml:space="preserve"> </w:t>
      </w:r>
      <w:r>
        <w:t xml:space="preserve">archiving and DOI assignment, ensuring long-term data preservation.</w:t>
      </w:r>
    </w:p>
    <w:bookmarkEnd w:id="87"/>
    <w:bookmarkEnd w:id="88"/>
    <w:bookmarkStart w:id="92"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w:t>
      </w:r>
      <w:r>
        <w:t xml:space="preserve"> </w:t>
      </w:r>
      <w:r>
        <w:t xml:space="preserve">opportunities for collaboration or co-authorship. Promoting data sharing</w:t>
      </w:r>
      <w:r>
        <w:t xml:space="preserve"> </w:t>
      </w:r>
      <w:r>
        <w:t xml:space="preserve">requires both cultural and technical infrastructure. By recognizing</w:t>
      </w:r>
      <w:r>
        <w:t xml:space="preserve"> </w:t>
      </w:r>
      <w:r>
        <w:t xml:space="preserve">contributions, tracking reuse, and supporting citation, data stewards</w:t>
      </w:r>
      <w:r>
        <w:t xml:space="preserve"> </w:t>
      </w:r>
      <w:r>
        <w:t xml:space="preserve">can create a system where sharing is rewarded.</w:t>
      </w:r>
    </w:p>
    <w:bookmarkStart w:id="91"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2"/>
        </w:numPr>
      </w:pPr>
      <w:hyperlink r:id="rId89">
        <w:r>
          <w:rPr>
            <w:rStyle w:val="Hyperlink"/>
          </w:rPr>
          <w:t xml:space="preserve">Creative Commons Attribution 4.0</w:t>
        </w:r>
        <w:r>
          <w:rPr>
            <w:rStyle w:val="Hyperlink"/>
          </w:rPr>
          <w:t xml:space="preserve"> </w:t>
        </w:r>
        <w:r>
          <w:rPr>
            <w:rStyle w:val="Hyperlink"/>
          </w:rPr>
          <w:t xml:space="preserve">International</w:t>
        </w:r>
      </w:hyperlink>
    </w:p>
    <w:p>
      <w:pPr>
        <w:pStyle w:val="FirstParagraph"/>
      </w:pPr>
      <w:r>
        <w:t xml:space="preserve">6.2 Provide recommended citation text and visible credit fields in</w:t>
      </w:r>
      <w:r>
        <w:t xml:space="preserve"> </w:t>
      </w:r>
      <w:r>
        <w:t xml:space="preserve">metadata</w:t>
      </w:r>
    </w:p>
    <w:p>
      <w:pPr>
        <w:pStyle w:val="BodyText"/>
      </w:pPr>
      <w:r>
        <w:t xml:space="preserve">6.3 Create summary dashboards that highlight reuse using</w:t>
      </w:r>
      <w:r>
        <w:t xml:space="preserve"> </w:t>
      </w:r>
      <w:hyperlink r:id="rId90">
        <w:r>
          <w:rPr>
            <w:rStyle w:val="Hyperlink"/>
          </w:rPr>
          <w:t xml:space="preserve">COUNTER Code</w:t>
        </w:r>
        <w:r>
          <w:rPr>
            <w:rStyle w:val="Hyperlink"/>
          </w:rPr>
          <w:t xml:space="preserve"> </w:t>
        </w:r>
        <w:r>
          <w:rPr>
            <w:rStyle w:val="Hyperlink"/>
          </w:rPr>
          <w:t xml:space="preserve">of Practice compliant metrics</w:t>
        </w:r>
      </w:hyperlink>
      <w:r>
        <w:t xml:space="preserve"> </w:t>
      </w:r>
      <w:r>
        <w:t xml:space="preserve">to track</w:t>
      </w:r>
      <w:r>
        <w:t xml:space="preserve"> </w:t>
      </w:r>
      <w:r>
        <w:t xml:space="preserve">dataset views/downloads and the DataCite APIs</w:t>
      </w:r>
    </w:p>
    <w:p>
      <w:pPr>
        <w:pStyle w:val="BodyText"/>
      </w:pPr>
      <w:r>
        <w:t xml:space="preserve">6.4 Ensure that datasets are properly cited in journal articles using in</w:t>
      </w:r>
      <w:r>
        <w:t xml:space="preserve"> </w:t>
      </w:r>
      <w:r>
        <w:t xml:space="preserve">text citations and the recommended citation in the articles list of</w:t>
      </w:r>
      <w:r>
        <w:t xml:space="preserve"> </w:t>
      </w:r>
      <w:r>
        <w:t xml:space="preserve">references, not just in a Data Availability statement</w:t>
      </w:r>
    </w:p>
    <w:p>
      <w:pPr>
        <w:pStyle w:val="BodyText"/>
      </w:pPr>
      <w:r>
        <w:t xml:space="preserve">6.5 Promote the view that well documented data publications are primary</w:t>
      </w:r>
      <w:r>
        <w:t xml:space="preserve"> </w:t>
      </w:r>
      <w:r>
        <w:t xml:space="preserve">research outputs and are significant contributions to the field</w:t>
      </w:r>
    </w:p>
    <w:bookmarkEnd w:id="91"/>
    <w:bookmarkEnd w:id="92"/>
    <w:bookmarkStart w:id="96"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w:t>
      </w:r>
      <w:r>
        <w:t xml:space="preserve"> </w:t>
      </w:r>
      <w:r>
        <w:t xml:space="preserve">and cross-ecosystem data integration is only effective if there’s</w:t>
      </w:r>
      <w:r>
        <w:t xml:space="preserve"> </w:t>
      </w:r>
      <w:r>
        <w:t xml:space="preserve">community engagement. Standards and tools must be co-developed with</w:t>
      </w:r>
      <w:r>
        <w:t xml:space="preserve"> </w:t>
      </w:r>
      <w:r>
        <w:t xml:space="preserve">their intended users using user-centred design principles (citation</w:t>
      </w:r>
      <w:r>
        <w:t xml:space="preserve"> </w:t>
      </w:r>
      <w:r>
        <w:t xml:space="preserve">required) to be effective. Engaging biologists, Indigenous stewards, and</w:t>
      </w:r>
      <w:r>
        <w:t xml:space="preserve"> </w:t>
      </w:r>
      <w:r>
        <w:t xml:space="preserve">data managers ensures relevance, usability, and long-term participation.</w:t>
      </w:r>
    </w:p>
    <w:bookmarkStart w:id="95" w:name="practical-applications-6"/>
    <w:p>
      <w:pPr>
        <w:pStyle w:val="Heading5"/>
      </w:pPr>
      <w:r>
        <w:t xml:space="preserve">Practical Applications:</w:t>
      </w:r>
    </w:p>
    <w:p>
      <w:pPr>
        <w:pStyle w:val="FirstParagraph"/>
      </w:pPr>
      <w:r>
        <w:t xml:space="preserve">7.1 Participate in salmon data focussed communities such as the</w:t>
      </w:r>
      <w:hyperlink r:id="rId93">
        <w:r>
          <w:rPr>
            <w:rStyle w:val="Hyperlink"/>
          </w:rPr>
          <w:t xml:space="preserve">Research</w:t>
        </w:r>
        <w:r>
          <w:rPr>
            <w:rStyle w:val="Hyperlink"/>
          </w:rPr>
          <w:t xml:space="preserve"> </w:t>
        </w:r>
        <w:r>
          <w:rPr>
            <w:rStyle w:val="Hyperlink"/>
          </w:rPr>
          <w:t xml:space="preserve">Data Alliance’s Salmon Research and Monitoring Interest</w:t>
        </w:r>
        <w:r>
          <w:rPr>
            <w:rStyle w:val="Hyperlink"/>
          </w:rPr>
          <w:t xml:space="preserve"> </w:t>
        </w:r>
        <w:r>
          <w:rPr>
            <w:rStyle w:val="Hyperlink"/>
          </w:rPr>
          <w:t xml:space="preserve">Group</w:t>
        </w:r>
      </w:hyperlink>
      <w:r>
        <w:t xml:space="preserve"> </w:t>
      </w:r>
    </w:p>
    <w:p>
      <w:pPr>
        <w:pStyle w:val="BodyText"/>
      </w:pPr>
      <w:r>
        <w:t xml:space="preserve">7.2 Run participatory workshops for metadata mapping and vocabulary</w:t>
      </w:r>
      <w:r>
        <w:t xml:space="preserve"> </w:t>
      </w:r>
      <w:r>
        <w:t xml:space="preserve">alignment</w:t>
      </w:r>
    </w:p>
    <w:p>
      <w:pPr>
        <w:pStyle w:val="BodyText"/>
      </w:pPr>
      <w:r>
        <w:t xml:space="preserve">7.3 Support and follow through on Community Engaged Research (citation</w:t>
      </w:r>
      <w:r>
        <w:t xml:space="preserve"> </w:t>
      </w:r>
      <w:r>
        <w:t xml:space="preserve">required) that provides tangible value to the communities in which</w:t>
      </w:r>
      <w:r>
        <w:t xml:space="preserve"> </w:t>
      </w:r>
      <w:r>
        <w:t xml:space="preserve">research or monitoring was conducted</w:t>
      </w:r>
    </w:p>
    <w:p>
      <w:pPr>
        <w:pStyle w:val="BodyText"/>
      </w:pPr>
      <w:r>
        <w:rPr>
          <w:vertAlign w:val="subscript"/>
        </w:rPr>
        <w:t xml:space="preserve">Source:</w:t>
      </w:r>
      <w:r>
        <w:rPr>
          <w:vertAlign w:val="subscript"/>
        </w:rPr>
        <w:t xml:space="preserve"> </w:t>
      </w:r>
      <w:hyperlink r:id="rId94">
        <w:r>
          <w:rPr>
            <w:rStyle w:val="Hyperlink"/>
            <w:vertAlign w:val="subscript"/>
          </w:rPr>
          <w:t xml:space="preserve">Appendix 1. Real-world Example Applications of the Best Practices</w:t>
        </w:r>
      </w:hyperlink>
    </w:p>
    <w:bookmarkEnd w:id="95"/>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cohencommission.ca/" TargetMode="External" /><Relationship Type="http://schemas.openxmlformats.org/officeDocument/2006/relationships/hyperlink" Id="rId86"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4" Target="https://br-johnson.github.io/sdm-paper/appendices\appendix-1-real-world-examples-preview.html#d8dee733-6edf-4b9a-87bf-2535e03ab2c1" TargetMode="External" /><Relationship Type="http://schemas.openxmlformats.org/officeDocument/2006/relationships/hyperlink" Id="rId89"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4"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0" Target="https://dwc.tdwg.org/" TargetMode="External" /><Relationship Type="http://schemas.openxmlformats.org/officeDocument/2006/relationships/hyperlink" Id="rId77"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0" Target="https://www.countermetrics.org/" TargetMode="External" /><Relationship Type="http://schemas.openxmlformats.org/officeDocument/2006/relationships/hyperlink" Id="rId81" Target="https://www.gbif.org/dataset/72de3af4-1572-4f2d-8006-2bfa2007065c" TargetMode="External" /><Relationship Type="http://schemas.openxmlformats.org/officeDocument/2006/relationships/hyperlink" Id="rId82" Target="https://www.gbif.org/dataset/search?project_id=IY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5" Target="https://www.psmfc.org/program/pit-tag-information-systems-ptagis" TargetMode="External" /><Relationship Type="http://schemas.openxmlformats.org/officeDocument/2006/relationships/hyperlink" Id="rId93"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0" Target="http://www.cohencommission.ca/" TargetMode="External" /><Relationship Type="http://schemas.openxmlformats.org/officeDocument/2006/relationships/hyperlink" Id="rId86"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4" Target="https://br-johnson.github.io/sdm-paper/appendices\appendix-1-real-world-examples-preview.html#d8dee733-6edf-4b9a-87bf-2535e03ab2c1" TargetMode="External" /><Relationship Type="http://schemas.openxmlformats.org/officeDocument/2006/relationships/hyperlink" Id="rId89"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4"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0" Target="https://dwc.tdwg.org/" TargetMode="External" /><Relationship Type="http://schemas.openxmlformats.org/officeDocument/2006/relationships/hyperlink" Id="rId77"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0" Target="https://www.countermetrics.org/" TargetMode="External" /><Relationship Type="http://schemas.openxmlformats.org/officeDocument/2006/relationships/hyperlink" Id="rId81" Target="https://www.gbif.org/dataset/72de3af4-1572-4f2d-8006-2bfa2007065c" TargetMode="External" /><Relationship Type="http://schemas.openxmlformats.org/officeDocument/2006/relationships/hyperlink" Id="rId82" Target="https://www.gbif.org/dataset/search?project_id=IY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5" Target="https://www.psmfc.org/program/pit-tag-information-systems-ptagis" TargetMode="External" /><Relationship Type="http://schemas.openxmlformats.org/officeDocument/2006/relationships/hyperlink" Id="rId93"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DRAFT-Best practices and practical applications for salmon data mobilization—a guide for salmon biologists assuming responsibility for data stewardship-DRAFT</dc:title>
  <dc:creator/>
  <cp:keywords/>
  <dcterms:created xsi:type="dcterms:W3CDTF">2025-08-17T16:11:18Z</dcterms:created>
  <dcterms:modified xsi:type="dcterms:W3CDTF">2025-08-17T16:11:18Z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