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Best practices and practical applications for salmon data mobilization—a practical guide for salmon biologists assuming responsibility for data stewardship</w:t>
      </w:r>
    </w:p>
    <w:p>
      <w:pPr>
        <w:pStyle w:val="FirstParagraph"/>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bookmarkStart w:id="20" w:name="abstract"/>
    <w:p>
      <w:pPr>
        <w:pStyle w:val="Heading3"/>
      </w:pPr>
      <w:r>
        <w:t xml:space="preserve">Abstract</w:t>
      </w:r>
    </w:p>
    <w:p>
      <w:pPr>
        <w:pStyle w:val="FirstParagraph"/>
      </w:pPr>
      <w:r>
        <w:t xml:space="preserve">Salmon research, management and conservation generates increasingly vast and diverse data crucial for effective decision making for resource management. Yet, these resources remain largely fragmented across jurisdictions, disciplines and outdated infrastructures, limiting their use in responsive fisheries management. Biologists are increasingly assuming the responsibilities of data stewards to address these challenges, yet often lack clear guidance or institutional support to do so. We provide practical guidance for those transitioning into these essential stewardship roles, outlining actionable best practices specific to the salmon research and management domain, and argue that effective salmon management hinges upon formally establishing data stewardship as a dedicated, institutionally supported professional role. We outline key best practices —including both socio-cultural and technical solutions that collectively ensure salmon data meet FAIR (Findable, Accessible, Interoperable, Reusable) principles and respect Indigenous Data Sovereignty. Through an illustrative case study involving sockeye salmon productivity analyses across Pacific Coast jurisdictions, we highlight how clearly defined stewardship practices can enhance data reproducibility, integration, and management efficacy. With a foundation of shared best practices, salmon data stewards will enable faster, more transparent decisions that draw from broader, cross-jurisdictional datasets, and support development of tools that leverage recent advances in artificial intelligence—ultimately strengthening the management and conservation of salmon populations.</w:t>
      </w:r>
    </w:p>
    <w:bookmarkEnd w:id="20"/>
    <w:bookmarkStart w:id="21" w:name="introduction"/>
    <w:p>
      <w:pPr>
        <w:pStyle w:val="Heading2"/>
      </w:pPr>
      <w:r>
        <w:t xml:space="preserve">Introduction</w:t>
      </w:r>
    </w:p>
    <w:p>
      <w:pPr>
        <w:pStyle w:val="FirstParagraph"/>
      </w:pPr>
      <w:r>
        <w:t xml:space="preserve">Salmon biologists generate vast amounts of data on abundance, health, and environmental conditions, yet these data remain fragmented, inconsistently measured, and often incomplete across time, space, and life history stages—limiting their value for robust research, hypothesis evaluation, and management decision-making</w:t>
      </w:r>
      <w:r>
        <w:t xml:space="preserve"> </w:t>
      </w:r>
      <w:r>
        <w:t xml:space="preserve">(Marmorek et al. 2011; Inman et al. 2021; Diack et al. 2024)</w:t>
      </w:r>
      <w:r>
        <w:t xml:space="preserve">. Salmon traverse multiple ecological regions and jurisdictional boundaries, resulting in data collections managed by diverse agencies and institutions, often in isolation. This fragmented data landscape undermines timely, integrated analyses necessary for effective management and conservation decisions. Additionally, the lack of institutional support and dedicated roles for data management frequently relegates critical data stewardship tasks to an ad hoc status—something performed off the side of a biologist’s desk. Institutional neglect of formal data stewardship has become a bottleneck in adaptive salmon management and conservation efforts.</w:t>
      </w:r>
    </w:p>
    <w:p>
      <w:pPr>
        <w:pStyle w:val="BodyText"/>
      </w:pPr>
      <w:r>
        <w:t xml:space="preserve">The growing complexity of fisheries management, combined with escalating environmental uncertainties due to climate change, demands rapid, integrated, and robust data analyses</w:t>
      </w:r>
      <w:r>
        <w:t xml:space="preserve"> </w:t>
      </w:r>
      <w:r>
        <w:t xml:space="preserve">(Bull et al. 2022)</w:t>
      </w:r>
      <w:r>
        <w:t xml:space="preserve">. Yet salmon biologists transitioning into data stewardship roles typically receive insufficient guidance or institutional support. We argue that fisheries management agencies must formally acknowledge and fund dedicated data stewardship roles to effectively mobilize and leverage salmon data. Without this institutional commitment, data remain inaccessible and fragmented, severely constraining the responsiveness and adaptability of management actions. To address these critical shortcomings, we outline practical steps that biologists, agencies and organizations can adopt.</w:t>
      </w:r>
    </w:p>
    <w:bookmarkEnd w:id="21"/>
    <w:bookmarkStart w:id="22" w:name="the-issue"/>
    <w:p>
      <w:pPr>
        <w:pStyle w:val="Heading2"/>
      </w:pPr>
      <w:r>
        <w:t xml:space="preserve">The Issue</w:t>
      </w:r>
    </w:p>
    <w:p>
      <w:pPr>
        <w:pStyle w:val="FirstParagraph"/>
      </w:pPr>
      <w:r>
        <w:t xml:space="preserve">Effective integration and mobilization of salmon data mirrors the complexity of salmon biology itself: these fish traverse freshwater, estuarine, and marine ecosystems, crossing provincial, state, tribal, federal, and international management boundaries</w:t>
      </w:r>
      <w:r>
        <w:t xml:space="preserve"> </w:t>
      </w:r>
      <w:r>
        <w:t xml:space="preserve">(Groot and Margolis 1991)</w:t>
      </w:r>
      <w:r>
        <w:t xml:space="preserve">. While localized successes in data coordination exist—particularly within regional fisheries management offices and treaty commissions—salmon data integrated across agencies for each phase of the salmon life cycle is rare and prohibitively expensive for all but the most pressing challenges. Most salmon datasets remain confined within institutional silos, often undocumented, stored in outdated systems, or formatted according to internal standards that are incompatible with broader integration efforts. As a result, long-term datasets critical to stock assessment and environmental monitoring frequently become inaccessible, poorly understood, or effectively lost once original data holders retire or move on.</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Modernizing these systems will require coordinated investment, grounded in shared international data standards and stewardship practices that accommodate the full disciplinary and geographic diversity of salmon science.</w:t>
      </w:r>
    </w:p>
    <w:p>
      <w:pPr>
        <w:pStyle w:val="BodyText"/>
      </w:pPr>
      <w:r>
        <w:t xml:space="preserve">The consequences of inaction are already visible. When critical datasets are hard to find, access, or interpret, biologists and analysts lose valuable time trying to reconstruct or harmonize them. This reduces transparency, increases the risk of errors, and delays urgent conservation or management responses. Without clear accountability for data stewardship, the system continues to rely on improvised, inconsistent, and ultimately unsustainable practices.</w:t>
      </w:r>
    </w:p>
    <w:bookmarkEnd w:id="22"/>
    <w:bookmarkStart w:id="23" w:name="the-need-for-coorindated-action"/>
    <w:p>
      <w:pPr>
        <w:pStyle w:val="Heading2"/>
      </w:pPr>
      <w:r>
        <w:t xml:space="preserve">The Need for Coorindated Action</w:t>
      </w:r>
    </w:p>
    <w:p>
      <w:pPr>
        <w:pStyle w:val="FirstParagraph"/>
      </w:pPr>
      <w:r>
        <w:t xml:space="preserve">For fisheries managers, modernizing data systems and workflows is essential to improve the quality, speed, and interoperability of operational data assets. These systems must support an increasingly complex decision-making landscape that now depends on integrating broader types and sources of data, often in real time. At the same time, researchers face pressure to generate insights on future salmon abundance, the impacts of changing environmental conditions, and the effectiveness of restoration strategies across all salmon life stages. Yet the current scattered and siloed data landscape remains unfit for purpose—both for science and for management.</w:t>
      </w:r>
    </w:p>
    <w:p>
      <w:pPr>
        <w:pStyle w:val="BodyText"/>
      </w:pPr>
      <w:r>
        <w:t xml:space="preserve">Despite operating under different mandates, 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Authority,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the Indigenous communities of the Northern Pacific and Trans-Atlantic</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p>
      <w:pPr>
        <w:pStyle w:val="BodyText"/>
      </w:pPr>
      <w:r>
        <w:t xml:space="preserve">A coordinated approach to stewarding salmon data should follow established open science standards and adhere explicitly to FAIR principles, tailored specifically for salmon research and management</w:t>
      </w:r>
      <w:r>
        <w:t xml:space="preserve"> </w:t>
      </w:r>
      <w:r>
        <w:t xml:space="preserve">(Johnson and Stap 2024)</w:t>
      </w:r>
      <w:r>
        <w:t xml:space="preserve">.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w:t>
      </w:r>
    </w:p>
    <w:bookmarkEnd w:id="23"/>
    <w:bookmarkStart w:id="24" w:name="X8f31bbc296e4196cccbd88eef5b4c3541fc9d6d"/>
    <w:p>
      <w:pPr>
        <w:pStyle w:val="Heading2"/>
      </w:pPr>
      <w:r>
        <w:t xml:space="preserve">Defining Data Stewardship in Salmon Science</w:t>
      </w:r>
    </w:p>
    <w:p>
      <w:pPr>
        <w:pStyle w:val="FirstParagraph"/>
      </w:pPr>
      <w:r>
        <w:t xml:space="preserve">Data stewardship encompasses the coordinated practices, roles, and responsibilities necessary to effectively manage, share, and reuse data throughout its lifecycle.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Specifically, effective salmon data stewards perform several critical functions:</w:t>
      </w:r>
    </w:p>
    <w:p>
      <w:pPr>
        <w:numPr>
          <w:ilvl w:val="0"/>
          <w:numId w:val="1001"/>
        </w:numPr>
      </w:pPr>
      <w:r>
        <w:rPr>
          <w:b/>
          <w:bCs/>
        </w:rPr>
        <w:t xml:space="preserve">Technical oversight</w:t>
      </w:r>
      <w:r>
        <w:t xml:space="preserve">: Ensuring metadata completeness, adherence to standardized terminologies and vocabularies, and robust quality assurance protocols.</w:t>
      </w:r>
    </w:p>
    <w:p>
      <w:pPr>
        <w:numPr>
          <w:ilvl w:val="0"/>
          <w:numId w:val="1001"/>
        </w:numPr>
      </w:pPr>
      <w:r>
        <w:rPr>
          <w:b/>
          <w:bCs/>
        </w:rPr>
        <w:t xml:space="preserve">Social and organizational facilitation</w:t>
      </w:r>
      <w:r>
        <w:t xml:space="preserve">: Leading stakeholder engagement, capacity-building activities, and negotiation of data access and sharing agreements, including addressing Indigenous Peoples’ rights and interests in data governance.</w:t>
      </w:r>
    </w:p>
    <w:p>
      <w:pPr>
        <w:numPr>
          <w:ilvl w:val="0"/>
          <w:numId w:val="1001"/>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pStyle w:val="FirstParagraph"/>
      </w:pPr>
      <w:r>
        <w:t xml:space="preserve">A user-centered design approach to salmon data stewardship is critical and focuses on creating tools that align with biologists’ needs. Data stewards play a critical role as business analysts, bridging the gap between biologists and IT by translating data needs into application or data system features.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4"/>
    <w:bookmarkStart w:id="29" w:name="X60ebd145321232d0cc1201b616f5c51519bfa55"/>
    <w:p>
      <w:pPr>
        <w:pStyle w:val="Heading2"/>
      </w:pPr>
      <w:r>
        <w:t xml:space="preserve">Updating Pacific-wide Sockeye Productivity: A Case Study for What Agencies Could Do Now</w:t>
      </w:r>
    </w:p>
    <w:p>
      <w:pPr>
        <w:pStyle w:val="FirstParagraph"/>
      </w:pPr>
      <w:r>
        <w:t xml:space="preserve">This case study revisits a pacific coast 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w:t>
      </w:r>
      <w:hyperlink w:anchor="tbl-bestpractices">
        <w:r>
          <w:rPr>
            <w:rStyle w:val="Hyperlink"/>
          </w:rPr>
          <w:t xml:space="preserve">Table 1</w:t>
        </w:r>
      </w:hyperlink>
      <w:r>
        <w:t xml:space="preserve">)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5"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2"/>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p>
      <w:pPr>
        <w:numPr>
          <w:ilvl w:val="0"/>
          <w:numId w:val="1002"/>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bookmarkEnd w:id="25"/>
    <w:bookmarkStart w:id="26"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gray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3"/>
        </w:numPr>
      </w:pPr>
      <w:r>
        <w:rPr>
          <w:b/>
          <w:bCs/>
        </w:rPr>
        <w:t xml:space="preserve">Best Practice 5: Store Data in Ways That Others Can Easily Access and Use</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p>
      <w:pPr>
        <w:numPr>
          <w:ilvl w:val="0"/>
          <w:numId w:val="1003"/>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bookmarkEnd w:id="26"/>
    <w:bookmarkStart w:id="28"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4"/>
        </w:numPr>
      </w:pPr>
      <w:r>
        <w:rPr>
          <w:b/>
          <w:bCs/>
        </w:rPr>
        <w:t xml:space="preserve">Best Practice 1: Make Data Governance Explicit to Support Trust and Reuse</w:t>
      </w:r>
      <w:r>
        <w:br/>
      </w:r>
      <w:r>
        <w:t xml:space="preserve">Agencies should define roles, responsibilities, and decision-making processes through formal governance mechanisms such as data product charters.</w:t>
      </w:r>
      <w:r>
        <w:br/>
      </w:r>
      <w:r>
        <w:rPr>
          <w:i/>
          <w:iCs/>
        </w:rPr>
        <w:t xml:space="preserve">Practical application:</w:t>
      </w:r>
      <w:r>
        <w:t xml:space="preserve"> </w:t>
      </w:r>
      <w:r>
        <w:t xml:space="preserve">Use a DACI or RACI framework to assign maintenance responsibility and ensure continuity across staff turnover and institutional change.</w:t>
      </w:r>
    </w:p>
    <w:p>
      <w:pPr>
        <w:numPr>
          <w:ilvl w:val="0"/>
          <w:numId w:val="1004"/>
        </w:numPr>
      </w:pPr>
      <w:r>
        <w:rPr>
          <w:b/>
          <w:bCs/>
        </w:rPr>
        <w:t xml:space="preserve">Best Practice 6: Incentivize and Track Data Sharing and Reuse</w:t>
      </w:r>
      <w:r>
        <w:br/>
      </w:r>
      <w:r>
        <w:t xml:space="preserve">Visibility, credit, and metrics are critical for motivating data sharing. Agencies can embed citation guidance in metadata and track dataset reuse through COUNTER-compliant dashboards or DataCite APIs.</w:t>
      </w:r>
    </w:p>
    <w:p>
      <w:pPr>
        <w:numPr>
          <w:ilvl w:val="0"/>
          <w:numId w:val="1004"/>
        </w:numPr>
      </w:pPr>
      <w:r>
        <w:rPr>
          <w:b/>
          <w:bCs/>
        </w:rPr>
        <w:t xml:space="preserve">Best Practice 7: Build Community Through Co-Development and Mutual Benefit</w:t>
      </w:r>
      <w:r>
        <w:br/>
      </w:r>
      <w:r>
        <w:t xml:space="preserve"> </w:t>
      </w:r>
      <w:r>
        <w:t xml:space="preserve">Effective data stewardship requires collaboration between biologists, Indigenous communities, managers, and data professionals. Participatory design ensures that systems and standards meet user needs and are adopted over time.</w:t>
      </w:r>
      <w:r>
        <w:br/>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outlined above, agencies and researchers can transform legacy datasets into living resources, enabling reproducibility, easing collaboration, and accelerating insight across the salmon research and management community.</w:t>
      </w:r>
    </w:p>
    <w:tbl>
      <w:tblPr>
        <w:tblStyle w:val="Table"/>
        <w:tblW w:type="pct" w:w="5000"/>
        <w:tblLayout w:type="fixed"/>
        <w:tblLook w:firstRow="0" w:lastRow="0" w:firstColumn="0" w:lastColumn="0" w:noHBand="0" w:noVBand="0" w:val="0000"/>
      </w:tblPr>
      <w:tblGrid>
        <w:gridCol w:w="7920"/>
      </w:tblGrid>
      <w:tr>
        <w:tc>
          <w:tcPr/>
          <w:bookmarkStart w:id="27" w:name="tbl-bestpractices"/>
          <w:p>
            <w:pPr>
              <w:jc w:val="center"/>
            </w:pPr>
            <w:pPr>
              <w:jc w:val="start"/>
              <w:spacing w:before="200"/>
              <w:pStyle w:val="ImageCaption"/>
            </w:pPr>
            <w:r>
              <w:t xml:space="preserve">Table 1: Best practices and practical applications of salmon data stewardship</w:t>
            </w:r>
          </w:p>
          <w:tbl>
            <w:tblPr>
              <w:tblStyle w:val="Table"/>
              <w:tblW w:type="pct" w:w="4988"/>
              <w:tblLayout w:type="fixed"/>
              <w:tblLook w:firstRow="1" w:lastRow="0" w:firstColumn="0" w:lastColumn="0" w:noHBand="0" w:noVBand="0" w:val="0020"/>
            </w:tblPr>
            <w:tblGrid>
              <w:gridCol w:w="1681"/>
              <w:gridCol w:w="3791"/>
              <w:gridCol w:w="2428"/>
            </w:tblGrid>
            <w:tr>
              <w:trPr>
                <w:tblHeader w:val="on"/>
              </w:trPr>
              <w:tc>
                <w:tcPr/>
                <w:p>
                  <w:pPr>
                    <w:pStyle w:val="Compact"/>
                    <w:jc w:val="left"/>
                    <w:jc w:val="center"/>
                  </w:pPr>
                  <w:r>
                    <w:rPr>
                      <w:b/>
                      <w:bCs/>
                    </w:rPr>
                    <w:t xml:space="preserve">Best Practice</w:t>
                  </w:r>
                </w:p>
              </w:tc>
              <w:tc>
                <w:tcPr/>
                <w:p>
                  <w:pPr>
                    <w:pStyle w:val="Compact"/>
                    <w:jc w:val="left"/>
                    <w:jc w:val="center"/>
                  </w:pPr>
                  <w:r>
                    <w:rPr>
                      <w:b/>
                      <w:bCs/>
                    </w:rPr>
                    <w:t xml:space="preserve">Summary</w:t>
                  </w:r>
                </w:p>
              </w:tc>
              <w:tc>
                <w:tcPr/>
                <w:p>
                  <w:pPr>
                    <w:pStyle w:val="Compact"/>
                    <w:jc w:val="center"/>
                  </w:pPr>
                  <w:r>
                    <w:rPr>
                      <w:b/>
                      <w:bCs/>
                    </w:rPr>
                    <w:t xml:space="preserve">Practical Applications</w:t>
                  </w:r>
                </w:p>
              </w:tc>
            </w:tr>
            <w:tr>
              <w:tc>
                <w:tcPr/>
                <w:p>
                  <w:pPr>
                    <w:pStyle w:val="Compact"/>
                    <w:jc w:val="left"/>
                    <w:jc w:val="center"/>
                  </w:pPr>
                  <w:r>
                    <w:t xml:space="preserve">1. Make Data Governance Explicit to Support Trust and Reuse</w:t>
                  </w:r>
                </w:p>
              </w:tc>
              <w:tc>
                <w:tcPr/>
                <w:p>
                  <w:pPr>
                    <w:pStyle w:val="Compact"/>
                    <w:jc w:val="left"/>
                    <w:jc w:val="center"/>
                  </w:pPr>
                  <w:r>
                    <w:t xml:space="preserve">Establishing clear governance structures ensures quality, accountability, and compliance with FAIR and CARE principles. It enables trust and long-term stewardship across multi-organizational projects.</w:t>
                  </w:r>
                </w:p>
              </w:tc>
              <w:tc>
                <w:tcPr/>
                <w:p>
                  <w:pPr>
                    <w:pStyle w:val="Compact"/>
                    <w:jc w:val="center"/>
                  </w:pPr>
                  <w:r>
                    <w:t xml:space="preserve">- Document roles and responsibilities using a Data Product Governance Charter and structured frameworks (e.g., DACI or RACI).</w:t>
                  </w:r>
                  <w:r>
                    <w:br/>
                  </w:r>
                  <w:r>
                    <w:t xml:space="preserve">- Integrate CARE principles to respect Indigenous data rights.</w:t>
                  </w:r>
                  <w:r>
                    <w:br/>
                  </w:r>
                  <w:r>
                    <w:t xml:space="preserve">- Form a governance or oversight committee to review data structures, timelines, and agreements.</w:t>
                  </w:r>
                </w:p>
              </w:tc>
            </w:tr>
            <w:tr>
              <w:tc>
                <w:tcPr/>
                <w:p>
                  <w:pPr>
                    <w:pStyle w:val="Compact"/>
                    <w:jc w:val="left"/>
                    <w:jc w:val="center"/>
                  </w:pPr>
                  <w:r>
                    <w:t xml:space="preserve">2. Reuse Proven Infrastructure to Save Time and Increase Interoperability</w:t>
                  </w:r>
                </w:p>
              </w:tc>
              <w:tc>
                <w:tcPr/>
                <w:p>
                  <w:pPr>
                    <w:pStyle w:val="Compact"/>
                    <w:jc w:val="left"/>
                    <w:jc w:val="center"/>
                  </w:pPr>
                  <w:r>
                    <w:t xml:space="preserve">Leveraging existing platforms and technologies reduces costs and improves long-term interoperability and sustainability.</w:t>
                  </w:r>
                </w:p>
              </w:tc>
              <w:tc>
                <w:tcPr/>
                <w:p>
                  <w:pPr>
                    <w:pStyle w:val="Compact"/>
                    <w:jc w:val="center"/>
                  </w:pPr>
                  <w:r>
                    <w:t xml:space="preserve">- Use domain-specific repositories like OBIS or GBIF.</w:t>
                  </w:r>
                  <w:r>
                    <w:br/>
                  </w:r>
                  <w:r>
                    <w:t xml:space="preserve">- Publish and archive data with KNB or Zenodo.</w:t>
                  </w:r>
                </w:p>
              </w:tc>
            </w:tr>
            <w:tr>
              <w:tc>
                <w:tcPr/>
                <w:p>
                  <w:pPr>
                    <w:pStyle w:val="Compact"/>
                    <w:jc w:val="left"/>
                    <w:jc w:val="center"/>
                  </w:pPr>
                  <w:r>
                    <w:t xml:space="preserve">3. Make Data, People, Projects, and Outputs Discoverable, Linked and Citable with PIDs</w:t>
                  </w:r>
                </w:p>
              </w:tc>
              <w:tc>
                <w:tcPr/>
                <w:p>
                  <w:pPr>
                    <w:pStyle w:val="Compact"/>
                    <w:jc w:val="left"/>
                    <w:jc w:val="center"/>
                  </w:pPr>
                  <w:r>
                    <w:t xml:space="preserve">Persistent identifiers (PIDs) connect data with researchers, institutions, and outputs—supporting data citation, reuse, and automated attribution.</w:t>
                  </w:r>
                </w:p>
              </w:tc>
              <w:tc>
                <w:tcPr/>
                <w:p>
                  <w:pPr>
                    <w:pStyle w:val="Compact"/>
                    <w:jc w:val="center"/>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r>
            <w:tr>
              <w:tc>
                <w:tcPr/>
                <w:p>
                  <w:pPr>
                    <w:pStyle w:val="Compact"/>
                    <w:jc w:val="left"/>
                    <w:jc w:val="center"/>
                  </w:pPr>
                  <w:r>
                    <w:t xml:space="preserve">4. Use Shared Data Models, Vocabularies and Metadata to Enable Integration</w:t>
                  </w:r>
                </w:p>
              </w:tc>
              <w:tc>
                <w:tcPr/>
                <w:p>
                  <w:pPr>
                    <w:pStyle w:val="Compact"/>
                    <w:jc w:val="left"/>
                    <w:jc w:val="center"/>
                  </w:pPr>
                  <w:r>
                    <w:t xml:space="preserve">Common vocabularies, metadata standards, and ontologies support integration across systems and preserve semantic meaning.</w:t>
                  </w:r>
                </w:p>
              </w:tc>
              <w:tc>
                <w:tcPr/>
                <w:p>
                  <w:pPr>
                    <w:pStyle w:val="Compact"/>
                    <w:jc w:val="center"/>
                  </w:pPr>
                  <w:r>
                    <w:t xml:space="preserve">- Adopt ISO 19115, EML, or DataCite metadata standards.</w:t>
                  </w:r>
                  <w:r>
                    <w:br/>
                  </w:r>
                  <w:r>
                    <w:t xml:space="preserve">- Model datasets using the Darwin Core Data Package.</w:t>
                  </w:r>
                  <w:r>
                    <w:br/>
                  </w:r>
                  <w:r>
                    <w:t xml:space="preserve">- Use controlled vocabularies or ontologies with PIDs.</w:t>
                  </w:r>
                </w:p>
              </w:tc>
            </w:tr>
            <w:tr>
              <w:tc>
                <w:tcPr/>
                <w:p>
                  <w:pPr>
                    <w:pStyle w:val="Compact"/>
                    <w:jc w:val="left"/>
                    <w:jc w:val="center"/>
                  </w:pPr>
                  <w:r>
                    <w:t xml:space="preserve">5. Store Data in Ways That Others Can Easily Access and Use</w:t>
                  </w:r>
                </w:p>
              </w:tc>
              <w:tc>
                <w:tcPr/>
                <w:p>
                  <w:pPr>
                    <w:pStyle w:val="Compact"/>
                    <w:jc w:val="left"/>
                    <w:jc w:val="center"/>
                  </w:pPr>
                  <w:r>
                    <w:t xml:space="preserve">Structured and accessible data formats ensure usability, reduce wrangling, and support integration with analytical tools and applications.</w:t>
                  </w:r>
                </w:p>
              </w:tc>
              <w:tc>
                <w:tcPr/>
                <w:p>
                  <w:pPr>
                    <w:pStyle w:val="Compact"/>
                    <w:jc w:val="center"/>
                  </w:pPr>
                  <w:r>
                    <w:t xml:space="preserve">- Provide APIs using FastAPI, Flask, or Django REST.</w:t>
                  </w:r>
                  <w:r>
                    <w:br/>
                  </w:r>
                  <w:r>
                    <w:t xml:space="preserve">- Archive in trusted repositories (e.g., GBIF, FRDR, USGS).</w:t>
                  </w:r>
                  <w:r>
                    <w:br/>
                  </w:r>
                  <w:r>
                    <w:t xml:space="preserve">- Use GitHub-Zenodo for DOI assignment and preservation.</w:t>
                  </w:r>
                </w:p>
              </w:tc>
            </w:tr>
            <w:tr>
              <w:tc>
                <w:tcPr/>
                <w:p>
                  <w:pPr>
                    <w:pStyle w:val="Compact"/>
                    <w:jc w:val="left"/>
                    <w:jc w:val="center"/>
                  </w:pPr>
                  <w:r>
                    <w:t xml:space="preserve">6. Incentivize and Track Data Sharing and Reuse</w:t>
                  </w:r>
                </w:p>
              </w:tc>
              <w:tc>
                <w:tcPr/>
                <w:p>
                  <w:pPr>
                    <w:pStyle w:val="Compact"/>
                    <w:jc w:val="left"/>
                    <w:jc w:val="center"/>
                  </w:pPr>
                  <w:r>
                    <w:t xml:space="preserve">Recognizing data contributors and tracking reuse promotes a culture of sharing and supports professional recognition.</w:t>
                  </w:r>
                </w:p>
              </w:tc>
              <w:tc>
                <w:tcPr/>
                <w:p>
                  <w:pPr>
                    <w:pStyle w:val="Compact"/>
                    <w:jc w:val="center"/>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r>
            <w:tr>
              <w:tc>
                <w:tcPr/>
                <w:p>
                  <w:pPr>
                    <w:pStyle w:val="Compact"/>
                    <w:jc w:val="left"/>
                    <w:jc w:val="center"/>
                  </w:pPr>
                  <w:r>
                    <w:t xml:space="preserve">7. Build Community Through Co-Development and Mutual Benefit</w:t>
                  </w:r>
                </w:p>
              </w:tc>
              <w:tc>
                <w:tcPr/>
                <w:p>
                  <w:pPr>
                    <w:pStyle w:val="Compact"/>
                    <w:jc w:val="left"/>
                    <w:jc w:val="center"/>
                  </w:pPr>
                  <w:r>
                    <w:t xml:space="preserve">Engaging users early ensures tools and standards meet real-world needs and enhances long-term stewardship.</w:t>
                  </w:r>
                </w:p>
              </w:tc>
              <w:tc>
                <w:tcPr/>
                <w:p>
                  <w:pPr>
                    <w:pStyle w:val="Compact"/>
                    <w:jc w:val="center"/>
                  </w:pPr>
                  <w:r>
                    <w:t xml:space="preserve">- Participate in RDA Salmon Interest Group.</w:t>
                  </w:r>
                  <w:r>
                    <w:br/>
                  </w:r>
                  <w:r>
                    <w:t xml:space="preserve">- Facilitate workshops for metadata and vocabulary alignment.</w:t>
                  </w:r>
                  <w:r>
                    <w:br/>
                  </w:r>
                  <w:r>
                    <w:t xml:space="preserve">- Support community-engaged research with tangible benefits.</w:t>
                  </w:r>
                </w:p>
              </w:tc>
            </w:tr>
          </w:tbl>
          <w:bookmarkEnd w:id="27"/>
          <w:p/>
        </w:tc>
      </w:tr>
    </w:tbl>
    <w:bookmarkEnd w:id="28"/>
    <w:bookmarkEnd w:id="29"/>
    <w:bookmarkStart w:id="62" w:name="conclusion"/>
    <w:p>
      <w:pPr>
        <w:pStyle w:val="Heading2"/>
      </w:pPr>
      <w:r>
        <w:t xml:space="preserve">Conclusion</w:t>
      </w:r>
    </w:p>
    <w:p>
      <w:pPr>
        <w:pStyle w:val="FirstParagraph"/>
      </w:pPr>
      <w:r>
        <w:t xml:space="preserve">We envision a future where salmon data are not locked in filing cabinets, buried in PDFs, or hidden in siloed spreadsheets, but instead flow seamlessly through a well-stewarded digital ecosystem. In this future, field biologists, Indigenous guardians, modelers, and policymakers interact with a living knowledge system—one that is transparent, discoverable, interoperable, and constantly evolving.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The process of aggregating and understanding salmon data has been fraught with challenges, from the complex life histories of the species, changing habitat conditions, and human effects to the jurisdictional and institutional silos that obstruct coordination. Salmon traverse political and ecosystem boundaries, yet our data systems often do not. The need of the hour is a strategy that is simple, flexible, and coordinated—one that embraces the FAIR principles while integrating the CARE principles to honor the sovereignty and knowledge systems of Indigenous communities.</w:t>
      </w:r>
    </w:p>
    <w:p>
      <w:pPr>
        <w:pStyle w:val="BodyText"/>
      </w:pPr>
      <w:r>
        <w:t xml:space="preserve">In the face of accelerating environmental change and rapid technological innovation, a transformative opportunity exists: to harness fragmented and heterogeneous datasets and translate them into standardized, interoperable data products. These products—rooted in community-endorsed standards and supported by persistent infrastructure—will allow researchers and resource managers to adopt data-intensive analytical approaches, automate updates to population indicators, and integrate diverse datasets into real-time decision-support tools. This marks a critical step toward transitioning salmon science into the</w:t>
      </w:r>
      <w:r>
        <w:t xml:space="preserve"> </w:t>
      </w:r>
      <w:r>
        <w:t xml:space="preserve">“Fourth Paradigm”</w:t>
      </w:r>
      <w:r>
        <w:t xml:space="preserve"> </w:t>
      </w:r>
      <w:r>
        <w:t xml:space="preserve">of discovery</w:t>
      </w:r>
      <w:r>
        <w:t xml:space="preserve">(Hey 2012)</w:t>
      </w:r>
      <w:r>
        <w:t xml:space="preserve">: one driven by data-intensive, cross-disciplinary synthesis.</w:t>
      </w:r>
    </w:p>
    <w:bookmarkStart w:id="30" w:name="competing-interests"/>
    <w:p>
      <w:pPr>
        <w:pStyle w:val="Heading3"/>
      </w:pPr>
      <w:r>
        <w:t xml:space="preserve">Competing interests</w:t>
      </w:r>
    </w:p>
    <w:bookmarkEnd w:id="30"/>
    <w:bookmarkStart w:id="31" w:name="acknowledgements"/>
    <w:p>
      <w:pPr>
        <w:pStyle w:val="Heading3"/>
      </w:pPr>
      <w:r>
        <w:t xml:space="preserve">Acknowledgements</w:t>
      </w:r>
    </w:p>
    <w:bookmarkEnd w:id="31"/>
    <w:bookmarkStart w:id="61" w:name="references"/>
    <w:p>
      <w:pPr>
        <w:pStyle w:val="Heading3"/>
      </w:pPr>
      <w:r>
        <w:t xml:space="preserve">References</w:t>
      </w:r>
    </w:p>
    <w:bookmarkStart w:id="60" w:name="refs"/>
    <w:bookmarkStart w:id="33"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2">
        <w:r>
          <w:rPr>
            <w:rStyle w:val="Hyperlink"/>
          </w:rPr>
          <w:t xml:space="preserve">https://doi.org/10.1093/icesjms/fsac099</w:t>
        </w:r>
      </w:hyperlink>
      <w:r>
        <w:t xml:space="preserve">.</w:t>
      </w:r>
    </w:p>
    <w:bookmarkEnd w:id="33"/>
    <w:bookmarkStart w:id="35"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34">
        <w:r>
          <w:rPr>
            <w:rStyle w:val="Hyperlink"/>
          </w:rPr>
          <w:t xml:space="preserve">https://doi.org/10.5334/dsj-2019-031</w:t>
        </w:r>
      </w:hyperlink>
      <w:r>
        <w:t xml:space="preserve">.</w:t>
      </w:r>
    </w:p>
    <w:bookmarkEnd w:id="35"/>
    <w:bookmarkStart w:id="37" w:name="ref-diack2024"/>
    <w:p>
      <w:pPr>
        <w:pStyle w:val="Bibliography"/>
      </w:pPr>
      <w:r>
        <w:t xml:space="preserve">Diack, Graeme, Tom Bird, Scott Akenhead, Jennifer Bayer, Deirdre Brophy, Colin Bull, Elvira de Eyto, et al. 2024.</w:t>
      </w:r>
      <w:r>
        <w:t xml:space="preserve"> </w:t>
      </w:r>
      <w:r>
        <w:t xml:space="preserve">“Salmon Data Mobilization.”</w:t>
      </w:r>
      <w:r>
        <w:t xml:space="preserve"> </w:t>
      </w:r>
      <w:r>
        <w:rPr>
          <w:i/>
          <w:iCs/>
        </w:rPr>
        <w:t xml:space="preserve">North Pacific Anadromous Fish Commission Bulletin</w:t>
      </w:r>
      <w:r>
        <w:t xml:space="preserve">, December.</w:t>
      </w:r>
      <w:r>
        <w:t xml:space="preserve"> </w:t>
      </w:r>
      <w:hyperlink r:id="rId36">
        <w:r>
          <w:rPr>
            <w:rStyle w:val="Hyperlink"/>
          </w:rPr>
          <w:t xml:space="preserve">https://doi.org/10.23849/npafcb7/x3rlpo23a</w:t>
        </w:r>
      </w:hyperlink>
      <w:r>
        <w:t xml:space="preserve">.</w:t>
      </w:r>
    </w:p>
    <w:bookmarkEnd w:id="37"/>
    <w:bookmarkStart w:id="39"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38">
        <w:r>
          <w:rPr>
            <w:rStyle w:val="Hyperlink"/>
          </w:rPr>
          <w:t xml:space="preserve">https://www.psc.org/wp-content/uploads/wpfd/preview_files/The-Sociocultural-Significance-of-Salmon-to-Tribes-and-First-Nations(5da9942da9fb4fe0d77eb32bd6165e43).pdf</w:t>
        </w:r>
      </w:hyperlink>
      <w:r>
        <w:t xml:space="preserve">.</w:t>
      </w:r>
    </w:p>
    <w:bookmarkEnd w:id="39"/>
    <w:bookmarkStart w:id="41"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40">
        <w:r>
          <w:rPr>
            <w:rStyle w:val="Hyperlink"/>
          </w:rPr>
          <w:t xml:space="preserve">https://books.google.ca/books?id=I_S0xCME0CYC</w:t>
        </w:r>
      </w:hyperlink>
      <w:r>
        <w:t xml:space="preserve">.</w:t>
      </w:r>
    </w:p>
    <w:bookmarkEnd w:id="41"/>
    <w:bookmarkStart w:id="43" w:name="ref-hey2012"/>
    <w:p>
      <w:pPr>
        <w:pStyle w:val="Bibliography"/>
      </w:pPr>
      <w:r>
        <w:t xml:space="preserve">Hey, Tony. 2012.</w:t>
      </w:r>
      <w:r>
        <w:t xml:space="preserve"> </w:t>
      </w:r>
      <w:r>
        <w:t xml:space="preserve">“The Fourth Paradigm</w:t>
      </w:r>
      <w:r>
        <w:t xml:space="preserve"> </w:t>
      </w:r>
      <w:r>
        <w:t xml:space="preserve"> </w:t>
      </w:r>
      <w:r>
        <w:t xml:space="preserve">Data-Intensive Scientific Discovery.”</w:t>
      </w:r>
      <w:r>
        <w:t xml:space="preserve"> </w:t>
      </w:r>
      <w:r>
        <w:t xml:space="preserve">In, 1–1. Springer Berlin Heidelberg.</w:t>
      </w:r>
      <w:r>
        <w:t xml:space="preserve"> </w:t>
      </w:r>
      <w:hyperlink r:id="rId42">
        <w:r>
          <w:rPr>
            <w:rStyle w:val="Hyperlink"/>
          </w:rPr>
          <w:t xml:space="preserve">https://doi.org/10.1007/978-3-642-33299-9_1</w:t>
        </w:r>
      </w:hyperlink>
      <w:r>
        <w:t xml:space="preserve">.</w:t>
      </w:r>
    </w:p>
    <w:bookmarkEnd w:id="43"/>
    <w:bookmarkStart w:id="45"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4">
        <w:r>
          <w:rPr>
            <w:rStyle w:val="Hyperlink"/>
          </w:rPr>
          <w:t xml:space="preserve">https://doi.org/10.5751/ES-12117-260226</w:t>
        </w:r>
      </w:hyperlink>
      <w:r>
        <w:t xml:space="preserve">.</w:t>
      </w:r>
    </w:p>
    <w:bookmarkEnd w:id="45"/>
    <w:bookmarkStart w:id="47"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46">
        <w:r>
          <w:rPr>
            <w:rStyle w:val="Hyperlink"/>
          </w:rPr>
          <w:t xml:space="preserve">https://doi.org/10.1038/s41559-023-02161-2</w:t>
        </w:r>
      </w:hyperlink>
      <w:r>
        <w:t xml:space="preserve">.</w:t>
      </w:r>
    </w:p>
    <w:bookmarkEnd w:id="47"/>
    <w:bookmarkStart w:id="49"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48">
        <w:r>
          <w:rPr>
            <w:rStyle w:val="Hyperlink"/>
          </w:rPr>
          <w:t xml:space="preserve">https://doi.org/10.23849/npafcb7/6a4ddpde4</w:t>
        </w:r>
      </w:hyperlink>
      <w:r>
        <w:t xml:space="preserve">.</w:t>
      </w:r>
    </w:p>
    <w:bookmarkEnd w:id="49"/>
    <w:bookmarkStart w:id="51"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50">
        <w:r>
          <w:rPr>
            <w:rStyle w:val="Hyperlink"/>
          </w:rPr>
          <w:t xml:space="preserve">https://doi.org/10.1111/j.1442-9993.2011.02351.x</w:t>
        </w:r>
      </w:hyperlink>
      <w:r>
        <w:t xml:space="preserve">.</w:t>
      </w:r>
    </w:p>
    <w:bookmarkEnd w:id="51"/>
    <w:bookmarkStart w:id="53"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2">
        <w:r>
          <w:rPr>
            <w:rStyle w:val="Hyperlink"/>
          </w:rPr>
          <w:t xml:space="preserve">http://www.cohencommission.ca/</w:t>
        </w:r>
      </w:hyperlink>
      <w:r>
        <w:t xml:space="preserve">.</w:t>
      </w:r>
    </w:p>
    <w:bookmarkEnd w:id="53"/>
    <w:bookmarkStart w:id="55"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54">
        <w:r>
          <w:rPr>
            <w:rStyle w:val="Hyperlink"/>
          </w:rPr>
          <w:t xml:space="preserve">https://doi.org/10.1139/f2012-063</w:t>
        </w:r>
      </w:hyperlink>
      <w:r>
        <w:t xml:space="preserve">.</w:t>
      </w:r>
    </w:p>
    <w:bookmarkEnd w:id="55"/>
    <w:bookmarkStart w:id="57"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56">
        <w:r>
          <w:rPr>
            <w:rStyle w:val="Hyperlink"/>
          </w:rPr>
          <w:t xml:space="preserve">https://doi.org/10.3390/su5020478</w:t>
        </w:r>
      </w:hyperlink>
      <w:r>
        <w:t xml:space="preserve">.</w:t>
      </w:r>
    </w:p>
    <w:bookmarkEnd w:id="57"/>
    <w:bookmarkStart w:id="59"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58">
        <w:r>
          <w:rPr>
            <w:rStyle w:val="Hyperlink"/>
          </w:rPr>
          <w:t xml:space="preserve">https://doi.org/10.1038/sdata.2016.18</w:t>
        </w:r>
      </w:hyperlink>
      <w:r>
        <w:t xml:space="preserve">.</w:t>
      </w:r>
    </w:p>
    <w:bookmarkEnd w:id="59"/>
    <w:bookmarkEnd w:id="60"/>
    <w:bookmarkEnd w:id="61"/>
    <w:bookmarkEnd w:id="62"/>
    <w:bookmarkStart w:id="83" w:name="X0eec7e8f025fee3ab106441c96e63641f0533a1"/>
    <w:p>
      <w:pPr>
        <w:pStyle w:val="Heading2"/>
      </w:pPr>
      <w:r>
        <w:t xml:space="preserve">Appendix 1. Real-world Example Applications of the Best Practices</w:t>
      </w:r>
    </w:p>
    <w:p>
      <w:pPr>
        <w:pStyle w:val="FirstParagraph"/>
      </w:pPr>
      <w:r>
        <w:t xml:space="preserve">Here we provide detailed descriptions of the seven best practices for salmon data stewardship, along with practical applications and real-world examples. This is not an exhaustive list, but rather a starting point for salmon biologists and data stewards to implement effective data stewardship practices in their work based on examples from the salmon research and management community.</w:t>
      </w:r>
    </w:p>
    <w:bookmarkStart w:id="66" w:name="Xb12edd0657e7269c47a25b09d9d78e24cee1937"/>
    <w:p>
      <w:pPr>
        <w:pStyle w:val="Heading4"/>
      </w:pPr>
      <w:r>
        <w:rPr>
          <w:b/>
          <w:bCs/>
        </w:rPr>
        <w:t xml:space="preserve">1. Make Data Governance Explicit to Support Trust and Reuse</w:t>
      </w:r>
    </w:p>
    <w:p>
      <w:pPr>
        <w:pStyle w:val="FirstParagraph"/>
      </w:pPr>
      <w:r>
        <w:t xml:space="preserve">Clear governance defines roles, responsibilities, and procedures ensuring data quality, long-term maintenance, accountability, and compliance with community principles such as FAIR and CARE. Effective governance fosters trust, facilitates data sharing, and reduces ambiguity regarding decision making, and is critical for coordinating both technical and sociocultural aspects of data stewardship.</w:t>
      </w:r>
    </w:p>
    <w:p>
      <w:pPr>
        <w:pStyle w:val="BodyText"/>
      </w:pPr>
      <w:r>
        <w:t xml:space="preserve">In collaborative international or multi-organizational settings, establishing governance at the outset of a project is crucial for aligning diverse groups, including biologists, data managers, Indigenous communities, policymakers, and other participants. Early governance planning should establish clear, collaborative frameworks that respect each group’s expertise and needs from the beginning. </w:t>
      </w:r>
    </w:p>
    <w:bookmarkStart w:id="65" w:name="practical-applications"/>
    <w:p>
      <w:pPr>
        <w:pStyle w:val="Heading5"/>
      </w:pPr>
      <w:r>
        <w:t xml:space="preserve">Practical Applications:</w:t>
      </w:r>
    </w:p>
    <w:p>
      <w:pPr>
        <w:pStyle w:val="FirstParagraph"/>
      </w:pPr>
      <w:r>
        <w:t xml:space="preserve">Document roles and responsibilities clearly at project start using a Project or Data Product Governance Charter and structured frameworks (e.g., DACI or RACI charts) that relate to organizational data policies.</w:t>
      </w:r>
    </w:p>
    <w:p>
      <w:pPr>
        <w:numPr>
          <w:ilvl w:val="0"/>
          <w:numId w:val="1005"/>
        </w:numPr>
      </w:pPr>
      <w:hyperlink r:id="rId63">
        <w:r>
          <w:rPr>
            <w:rStyle w:val="Hyperlink"/>
          </w:rPr>
          <w:t xml:space="preserve">Example of a Data Management Plan from the California Department of Water Resources</w:t>
        </w:r>
      </w:hyperlink>
    </w:p>
    <w:p>
      <w:pPr>
        <w:numPr>
          <w:ilvl w:val="0"/>
          <w:numId w:val="1005"/>
        </w:numPr>
      </w:pPr>
      <w:hyperlink r:id="rId64">
        <w:r>
          <w:rPr>
            <w:rStyle w:val="Hyperlink"/>
          </w:rPr>
          <w:t xml:space="preserve">Data Management Plan Templates</w:t>
        </w:r>
      </w:hyperlink>
    </w:p>
    <w:p>
      <w:pPr>
        <w:pStyle w:val="FirstParagraph"/>
      </w:pPr>
      <w:r>
        <w:t xml:space="preserve">Integrate CARE principles to ensure ethical governance and respect Indigenous data rights.</w:t>
      </w:r>
    </w:p>
    <w:p>
      <w:pPr>
        <w:pStyle w:val="FirstParagraph"/>
      </w:pPr>
      <w:r>
        <w:t xml:space="preserve">Create a governance or oversight committee for regular data practice reviews and decision making regarding data structures, timelines, data sharing agreements and interoperability protocols</w:t>
      </w:r>
    </w:p>
    <w:bookmarkEnd w:id="65"/>
    <w:bookmarkEnd w:id="66"/>
    <w:bookmarkStart w:id="69" w:name="Xe4940526a4497d243234a137f59d11fc75e1dec"/>
    <w:p>
      <w:pPr>
        <w:pStyle w:val="Heading4"/>
      </w:pPr>
      <w:r>
        <w:rPr>
          <w:b/>
          <w:bCs/>
        </w:rPr>
        <w:t xml:space="preserve">2. Reuse Proven Infrastructure to Save Time and Increase Interoperability</w:t>
      </w:r>
    </w:p>
    <w:p>
      <w:pPr>
        <w:pStyle w:val="FirstParagraph"/>
      </w:pPr>
      <w:r>
        <w:t xml:space="preserve">Building custom solutions should be avoided where possible. Maximizing existing platforms and technologies reduces costs, accelerates implementation, and increases data interoperability. Building modular, interoperable systems grounded in proven technologies ensures sustainable long-term stewardship.</w:t>
      </w:r>
    </w:p>
    <w:bookmarkStart w:id="68" w:name="practical-applications-1"/>
    <w:p>
      <w:pPr>
        <w:pStyle w:val="Heading5"/>
      </w:pPr>
      <w:r>
        <w:t xml:space="preserve">Practical Applications:</w:t>
      </w:r>
    </w:p>
    <w:p>
      <w:pPr>
        <w:numPr>
          <w:ilvl w:val="0"/>
          <w:numId w:val="1007"/>
        </w:numPr>
      </w:pPr>
      <w:hyperlink r:id="rId67">
        <w:r>
          <w:rPr>
            <w:rStyle w:val="Hyperlink"/>
          </w:rPr>
          <w:t xml:space="preserve">Use the Ocean Biodiversity Information System or the Global Biodiversity Information Facility to standardize and host your data</w:t>
        </w:r>
      </w:hyperlink>
    </w:p>
    <w:p>
      <w:pPr>
        <w:numPr>
          <w:ilvl w:val="0"/>
          <w:numId w:val="1007"/>
        </w:numPr>
      </w:pPr>
      <w:r>
        <w:t xml:space="preserve">Use free data catalogue services such as the Knowledge Network for Biocomplexity (KNB) or Zenodo</w:t>
      </w:r>
    </w:p>
    <w:bookmarkEnd w:id="68"/>
    <w:bookmarkEnd w:id="69"/>
    <w:bookmarkStart w:id="72" w:name="X2e704b3fbdac499c8de63b2db85bac328669287"/>
    <w:p>
      <w:pPr>
        <w:pStyle w:val="Heading4"/>
      </w:pPr>
      <w:r>
        <w:rPr>
          <w:b/>
          <w:bCs/>
        </w:rPr>
        <w:t xml:space="preserve">3. Make Data, People, Projects, and Outputs Discoverable, Linked and Citable with PIDs</w:t>
      </w:r>
    </w:p>
    <w:p>
      <w:pPr>
        <w:pStyle w:val="FirstParagraph"/>
      </w:pPr>
      <w:r>
        <w:t xml:space="preserve">Persistent identifiers (PIDs), including Digital Object Identifiers (DOI) are essential for tracking the provenance and reuse of data, and linking data, protocols, organizations and people. They allow for consistent referencing, integration across systems, and automated credit via data citation.</w:t>
      </w:r>
    </w:p>
    <w:bookmarkStart w:id="71" w:name="practical-applications-2"/>
    <w:p>
      <w:pPr>
        <w:pStyle w:val="Heading5"/>
      </w:pPr>
      <w:r>
        <w:t xml:space="preserve">Practical Applications:</w:t>
      </w:r>
    </w:p>
    <w:p>
      <w:pPr>
        <w:numPr>
          <w:ilvl w:val="0"/>
          <w:numId w:val="1008"/>
        </w:numPr>
      </w:pPr>
      <w:r>
        <w:t xml:space="preserve">Encourage researchers to register for an</w:t>
      </w:r>
      <w:r>
        <w:t xml:space="preserve"> </w:t>
      </w:r>
      <w:hyperlink r:id="rId70">
        <w:r>
          <w:rPr>
            <w:rStyle w:val="Hyperlink"/>
          </w:rPr>
          <w:t xml:space="preserve">Open Researcher and Contributor ID (ORCID)</w:t>
        </w:r>
      </w:hyperlink>
      <w:r>
        <w:t xml:space="preserve"> </w:t>
      </w:r>
      <w:r>
        <w:t xml:space="preserve">and include ORCIDs in metadata records and submission forms</w:t>
      </w:r>
    </w:p>
    <w:p>
      <w:pPr>
        <w:numPr>
          <w:ilvl w:val="0"/>
          <w:numId w:val="1008"/>
        </w:numPr>
      </w:pPr>
      <w:r>
        <w:t xml:space="preserve">Register your organization with the Research Organization Registry (ROR) and use ROR IDs to identify institutions involved in salmon science.</w:t>
      </w:r>
    </w:p>
    <w:p>
      <w:pPr>
        <w:numPr>
          <w:ilvl w:val="0"/>
          <w:numId w:val="1008"/>
        </w:numPr>
      </w:pPr>
      <w:r>
        <w:t xml:space="preserve">Assign DOIs to data packages, protocols, and reports using DataCite.</w:t>
      </w:r>
    </w:p>
    <w:p>
      <w:pPr>
        <w:numPr>
          <w:ilvl w:val="0"/>
          <w:numId w:val="1008"/>
        </w:numPr>
      </w:pPr>
      <w:r>
        <w:t xml:space="preserve">Embed DOIs in dashboards, figures, and metadata so they persist in derivative products.</w:t>
      </w:r>
    </w:p>
    <w:bookmarkEnd w:id="71"/>
    <w:bookmarkEnd w:id="72"/>
    <w:bookmarkStart w:id="74" w:name="Xae20514442a38834165b7fc789fed8fea292c0a"/>
    <w:p>
      <w:pPr>
        <w:pStyle w:val="Heading4"/>
      </w:pPr>
      <w:r>
        <w:rPr>
          <w:b/>
          <w:bCs/>
        </w:rPr>
        <w:t xml:space="preserve">4. Use Shared Data Models, Vocabularies and Metadata to Enable Integration</w:t>
      </w:r>
    </w:p>
    <w:p>
      <w:pPr>
        <w:pStyle w:val="FirstParagraph"/>
      </w:pPr>
      <w:r>
        <w:t xml:space="preserve">Standardizing metadata and terminology ensures data can be interpreted correctly and integrated across systems. Controlled vocabularies, community ontologies, and structured metadata schemas allow data to retain its full semantic meaning.</w:t>
      </w:r>
    </w:p>
    <w:bookmarkStart w:id="73" w:name="practical-applications-3"/>
    <w:p>
      <w:pPr>
        <w:pStyle w:val="Heading5"/>
      </w:pPr>
      <w:r>
        <w:t xml:space="preserve">Practical Applications:</w:t>
      </w:r>
    </w:p>
    <w:p>
      <w:pPr>
        <w:numPr>
          <w:ilvl w:val="0"/>
          <w:numId w:val="1009"/>
        </w:numPr>
      </w:pPr>
      <w:r>
        <w:t xml:space="preserve">Configure data catalogues and metadata intake tools to accept Internationally recognized metadata schemas such as ISO 19115, Ecological Metadata Language (EML), or DataCite</w:t>
      </w:r>
    </w:p>
    <w:p>
      <w:pPr>
        <w:numPr>
          <w:ilvl w:val="0"/>
          <w:numId w:val="1009"/>
        </w:numPr>
      </w:pPr>
      <w:r>
        <w:t xml:space="preserve">Model datasets and databases using the Darwin Core Data Package model</w:t>
      </w:r>
    </w:p>
    <w:p>
      <w:pPr>
        <w:numPr>
          <w:ilvl w:val="0"/>
          <w:numId w:val="1009"/>
        </w:numPr>
      </w:pPr>
      <w:r>
        <w:t xml:space="preserve">Re-use or publish data terms that are shared online using a persistent identifier in a controlled vocabulary or ontology</w:t>
      </w:r>
    </w:p>
    <w:bookmarkEnd w:id="73"/>
    <w:bookmarkEnd w:id="74"/>
    <w:bookmarkStart w:id="79" w:name="X5a60738848d76aba1cc3dedf47a2bbcabea54c8"/>
    <w:p>
      <w:pPr>
        <w:pStyle w:val="Heading4"/>
      </w:pPr>
      <w:r>
        <w:rPr>
          <w:b/>
          <w:bCs/>
        </w:rPr>
        <w:t xml:space="preserve">5. Store Data in Ways That Others Can Easily Access and Use</w:t>
      </w:r>
    </w:p>
    <w:p>
      <w:pPr>
        <w:pStyle w:val="FirstParagraph"/>
      </w:pPr>
      <w:r>
        <w:t xml:space="preserve">Making data easily accessible promotes its use in research and management, enabling seamless integration with tools and applications. Ensuring accessible, persistent data storage requires more than just file hosting. Data should be structured, accessible via API, and stored in repositories that support long-term preservation.</w:t>
      </w:r>
    </w:p>
    <w:bookmarkStart w:id="75" w:name="practical-applications-4"/>
    <w:p>
      <w:pPr>
        <w:pStyle w:val="Heading5"/>
      </w:pPr>
      <w:r>
        <w:t xml:space="preserve">Practical Applications:</w:t>
      </w:r>
    </w:p>
    <w:p>
      <w:pPr>
        <w:numPr>
          <w:ilvl w:val="0"/>
          <w:numId w:val="1010"/>
        </w:numPr>
      </w:pPr>
      <w:r>
        <w:t xml:space="preserve">Provide Direct Data Access via Application Programming Interfaces (APIs) using tools such as FastAPI, Flask, or Django REST Framework that allows users to access, filter, and retrieve data programmatically, facilitating automation and integration into analytical tools and decision-support systems</w:t>
      </w:r>
    </w:p>
    <w:p>
      <w:pPr>
        <w:numPr>
          <w:ilvl w:val="0"/>
          <w:numId w:val="1010"/>
        </w:numPr>
      </w:pPr>
      <w:r>
        <w:t xml:space="preserve">Archive data in certified long-term, domain-specific repositories such as the Global Biodiversity Information Facility, the Federated Research Data Repository (FRDR), or NOAA’s NCEI, USGS ScienceBase, or EMODnet</w:t>
      </w:r>
    </w:p>
    <w:p>
      <w:pPr>
        <w:numPr>
          <w:ilvl w:val="0"/>
          <w:numId w:val="1010"/>
        </w:numPr>
      </w:pPr>
      <w:r>
        <w:t xml:space="preserve">Leverage the integration between GitHub and Zenodo to automate archiving and DOI assignment, ensuring long-term data preservation.</w:t>
      </w:r>
    </w:p>
    <w:p>
      <w:pPr>
        <w:pStyle w:val="FirstParagraph"/>
      </w:pPr>
      <w:r>
        <w:rPr>
          <w:b/>
          <w:bCs/>
        </w:rPr>
        <w:t xml:space="preserve">6. Incentivize and Track Data Sharing and Reuse</w:t>
      </w:r>
    </w:p>
    <w:p>
      <w:pPr>
        <w:pStyle w:val="BodyText"/>
      </w:pPr>
      <w:r>
        <w:t xml:space="preserve">The currency of research lies in recognition—credit, citations, and opportunities for collaboration or co-authorship. Promoting data sharing requires both cultural and technical infrastructure. By recognizing contributions, tracking reuse, and supporting citation, data stewards can create a system where sharing is rewarded.</w:t>
      </w:r>
    </w:p>
    <w:bookmarkEnd w:id="75"/>
    <w:bookmarkStart w:id="78" w:name="practical-applications-5"/>
    <w:p>
      <w:pPr>
        <w:pStyle w:val="Heading5"/>
      </w:pPr>
      <w:r>
        <w:t xml:space="preserve">Practical Applications:</w:t>
      </w:r>
    </w:p>
    <w:p>
      <w:pPr>
        <w:numPr>
          <w:ilvl w:val="0"/>
          <w:numId w:val="1011"/>
        </w:numPr>
      </w:pPr>
      <w:r>
        <w:t xml:space="preserve">License data for reuse using</w:t>
      </w:r>
      <w:r>
        <w:t xml:space="preserve"> </w:t>
      </w:r>
      <w:hyperlink r:id="rId76">
        <w:r>
          <w:rPr>
            <w:rStyle w:val="Hyperlink"/>
          </w:rPr>
          <w:t xml:space="preserve">Creative Commons Attribution 4.0 International</w:t>
        </w:r>
      </w:hyperlink>
    </w:p>
    <w:p>
      <w:pPr>
        <w:numPr>
          <w:ilvl w:val="0"/>
          <w:numId w:val="1011"/>
        </w:numPr>
      </w:pPr>
      <w:r>
        <w:t xml:space="preserve">Provide recommended citation text and visible credit fields in metadata</w:t>
      </w:r>
    </w:p>
    <w:p>
      <w:pPr>
        <w:numPr>
          <w:ilvl w:val="0"/>
          <w:numId w:val="1011"/>
        </w:numPr>
      </w:pPr>
      <w:r>
        <w:t xml:space="preserve">Create summary dashboards that highlight reuse using</w:t>
      </w:r>
      <w:r>
        <w:t xml:space="preserve"> </w:t>
      </w:r>
      <w:hyperlink r:id="rId77">
        <w:r>
          <w:rPr>
            <w:rStyle w:val="Hyperlink"/>
          </w:rPr>
          <w:t xml:space="preserve">COUNTER Code of Practice compliant metrics</w:t>
        </w:r>
      </w:hyperlink>
      <w:r>
        <w:t xml:space="preserve"> </w:t>
      </w:r>
      <w:r>
        <w:t xml:space="preserve">to track dataset views/downloads and the DataCite APIs</w:t>
      </w:r>
    </w:p>
    <w:p>
      <w:pPr>
        <w:numPr>
          <w:ilvl w:val="0"/>
          <w:numId w:val="1011"/>
        </w:numPr>
      </w:pPr>
      <w:r>
        <w:t xml:space="preserve">Ensure that datasets are properly cited in journal articles using in text citations and the recommended citation in the articles list of references, not just in a Data Availability statement</w:t>
      </w:r>
    </w:p>
    <w:p>
      <w:pPr>
        <w:numPr>
          <w:ilvl w:val="0"/>
          <w:numId w:val="1011"/>
        </w:numPr>
      </w:pPr>
      <w:r>
        <w:t xml:space="preserve">Promote the view that well documented data publications are primary research outputs and are significant contributions to the field</w:t>
      </w:r>
    </w:p>
    <w:bookmarkEnd w:id="78"/>
    <w:bookmarkEnd w:id="79"/>
    <w:bookmarkStart w:id="82" w:name="Xede4e5f3133f4905776a2981e7117d5b19a5441"/>
    <w:p>
      <w:pPr>
        <w:pStyle w:val="Heading4"/>
      </w:pPr>
      <w:r>
        <w:rPr>
          <w:b/>
          <w:bCs/>
        </w:rPr>
        <w:t xml:space="preserve">7. Build Community Through Co-Development and Mutual Benefit</w:t>
      </w:r>
    </w:p>
    <w:p>
      <w:pPr>
        <w:pStyle w:val="FirstParagraph"/>
      </w:pPr>
      <w:r>
        <w:t xml:space="preserve">Creating an infrastructure that standardizes and provides cross-border and cross-ecosystem data integration is only effective if there’s community engagement. Standards and tools must be co-developed with their intended users using user-centred design principles (citation required) to be effective. Engaging biologists, Indigenous stewards, and data managers ensures relevance, usability, and long-term participation.</w:t>
      </w:r>
    </w:p>
    <w:bookmarkStart w:id="81" w:name="practical-applications-6"/>
    <w:p>
      <w:pPr>
        <w:pStyle w:val="Heading5"/>
      </w:pPr>
      <w:r>
        <w:t xml:space="preserve">Practical Applications:</w:t>
      </w:r>
    </w:p>
    <w:p>
      <w:pPr>
        <w:numPr>
          <w:ilvl w:val="0"/>
          <w:numId w:val="1012"/>
        </w:numPr>
      </w:pPr>
      <w:r>
        <w:t xml:space="preserve">Participate in salmon data focussed communities such as the</w:t>
      </w:r>
      <w:hyperlink r:id="rId80">
        <w:r>
          <w:rPr>
            <w:rStyle w:val="Hyperlink"/>
          </w:rPr>
          <w:t xml:space="preserve">Research Data Alliance’s Salmon Research and Monitoring Interest Group</w:t>
        </w:r>
      </w:hyperlink>
      <w:r>
        <w:t xml:space="preserve"> </w:t>
      </w:r>
    </w:p>
    <w:p>
      <w:pPr>
        <w:numPr>
          <w:ilvl w:val="0"/>
          <w:numId w:val="1012"/>
        </w:numPr>
      </w:pPr>
      <w:r>
        <w:t xml:space="preserve">Run participatory workshops for metadata mapping and vocabulary alignment</w:t>
      </w:r>
    </w:p>
    <w:p>
      <w:pPr>
        <w:numPr>
          <w:ilvl w:val="0"/>
          <w:numId w:val="1012"/>
        </w:numPr>
      </w:pPr>
      <w:r>
        <w:t xml:space="preserve">Support and follow through on Community Engaged Research (citation required) that provides tangible value to the communities in which research or monitoring was conducted</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www.cohencommission.ca/" TargetMode="External" /><Relationship Type="http://schemas.openxmlformats.org/officeDocument/2006/relationships/hyperlink" Id="rId40" Target="https://books.google.ca/books?id=I_S0xCME0CYC" TargetMode="External" /><Relationship Type="http://schemas.openxmlformats.org/officeDocument/2006/relationships/hyperlink" Id="rId76" Target="https://creativecommons.org/licenses/by/4.0/deed.en" TargetMode="External" /><Relationship Type="http://schemas.openxmlformats.org/officeDocument/2006/relationships/hyperlink" Id="rId64" Target="https://dmptool.org/public_templates?page=ALL" TargetMode="External" /><Relationship Type="http://schemas.openxmlformats.org/officeDocument/2006/relationships/hyperlink" Id="rId42" Target="https://doi.org/10.1007/978-3-642-33299-9_1" TargetMode="External" /><Relationship Type="http://schemas.openxmlformats.org/officeDocument/2006/relationships/hyperlink" Id="rId46" Target="https://doi.org/10.1038/s41559-023-02161-2" TargetMode="External" /><Relationship Type="http://schemas.openxmlformats.org/officeDocument/2006/relationships/hyperlink" Id="rId58"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50" Target="https://doi.org/10.1111/j.1442-9993.2011.02351.x" TargetMode="External" /><Relationship Type="http://schemas.openxmlformats.org/officeDocument/2006/relationships/hyperlink" Id="rId54" Target="https://doi.org/10.1139/f2012-063" TargetMode="External" /><Relationship Type="http://schemas.openxmlformats.org/officeDocument/2006/relationships/hyperlink" Id="rId67" Target="https://doi.org/10.14286/duc6mu" TargetMode="External" /><Relationship Type="http://schemas.openxmlformats.org/officeDocument/2006/relationships/hyperlink" Id="rId48"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56" Target="https://doi.org/10.3390/su5020478" TargetMode="External" /><Relationship Type="http://schemas.openxmlformats.org/officeDocument/2006/relationships/hyperlink" Id="rId34" Target="https://doi.org/10.5334/dsj-2019-031" TargetMode="External" /><Relationship Type="http://schemas.openxmlformats.org/officeDocument/2006/relationships/hyperlink" Id="rId44" Target="https://doi.org/10.5751/ES-12117-260226" TargetMode="External" /><Relationship Type="http://schemas.openxmlformats.org/officeDocument/2006/relationships/hyperlink" Id="rId70" Target="https://orcid.org/" TargetMode="External" /><Relationship Type="http://schemas.openxmlformats.org/officeDocument/2006/relationships/hyperlink" Id="rId63" Target="https://raw.githubusercontent.com/Br-Johnson/sdm-paper/refs/heads/main/examples/Cal_DMP.pdf" TargetMode="External" /><Relationship Type="http://schemas.openxmlformats.org/officeDocument/2006/relationships/hyperlink" Id="rId77" Target="https://www.countermetrics.org/"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0" Target="https://www.rd-alliance.org/groups/salmon-research-and-monitoring-ig/" TargetMode="External" /></Relationships>
</file>

<file path=word/_rels/footnotes.xml.rels><?xml version="1.0" encoding="UTF-8"?><Relationships xmlns="http://schemas.openxmlformats.org/package/2006/relationships"><Relationship Type="http://schemas.openxmlformats.org/officeDocument/2006/relationships/hyperlink" Id="rId52" Target="http://www.cohencommission.ca/" TargetMode="External" /><Relationship Type="http://schemas.openxmlformats.org/officeDocument/2006/relationships/hyperlink" Id="rId40" Target="https://books.google.ca/books?id=I_S0xCME0CYC" TargetMode="External" /><Relationship Type="http://schemas.openxmlformats.org/officeDocument/2006/relationships/hyperlink" Id="rId76" Target="https://creativecommons.org/licenses/by/4.0/deed.en" TargetMode="External" /><Relationship Type="http://schemas.openxmlformats.org/officeDocument/2006/relationships/hyperlink" Id="rId64" Target="https://dmptool.org/public_templates?page=ALL" TargetMode="External" /><Relationship Type="http://schemas.openxmlformats.org/officeDocument/2006/relationships/hyperlink" Id="rId42" Target="https://doi.org/10.1007/978-3-642-33299-9_1" TargetMode="External" /><Relationship Type="http://schemas.openxmlformats.org/officeDocument/2006/relationships/hyperlink" Id="rId46" Target="https://doi.org/10.1038/s41559-023-02161-2" TargetMode="External" /><Relationship Type="http://schemas.openxmlformats.org/officeDocument/2006/relationships/hyperlink" Id="rId58"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50" Target="https://doi.org/10.1111/j.1442-9993.2011.02351.x" TargetMode="External" /><Relationship Type="http://schemas.openxmlformats.org/officeDocument/2006/relationships/hyperlink" Id="rId54" Target="https://doi.org/10.1139/f2012-063" TargetMode="External" /><Relationship Type="http://schemas.openxmlformats.org/officeDocument/2006/relationships/hyperlink" Id="rId67" Target="https://doi.org/10.14286/duc6mu" TargetMode="External" /><Relationship Type="http://schemas.openxmlformats.org/officeDocument/2006/relationships/hyperlink" Id="rId48"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56" Target="https://doi.org/10.3390/su5020478" TargetMode="External" /><Relationship Type="http://schemas.openxmlformats.org/officeDocument/2006/relationships/hyperlink" Id="rId34" Target="https://doi.org/10.5334/dsj-2019-031" TargetMode="External" /><Relationship Type="http://schemas.openxmlformats.org/officeDocument/2006/relationships/hyperlink" Id="rId44" Target="https://doi.org/10.5751/ES-12117-260226" TargetMode="External" /><Relationship Type="http://schemas.openxmlformats.org/officeDocument/2006/relationships/hyperlink" Id="rId70" Target="https://orcid.org/" TargetMode="External" /><Relationship Type="http://schemas.openxmlformats.org/officeDocument/2006/relationships/hyperlink" Id="rId63" Target="https://raw.githubusercontent.com/Br-Johnson/sdm-paper/refs/heads/main/examples/Cal_DMP.pdf" TargetMode="External" /><Relationship Type="http://schemas.openxmlformats.org/officeDocument/2006/relationships/hyperlink" Id="rId77" Target="https://www.countermetrics.org/"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0" Target="https://www.rd-alliance.org/groups/salmon-research-and-monitoring-i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and practical applications for salmon data mobilization—a practical guide for salmon biologists assuming responsibility for data stewardship</dc:title>
  <dc:creator/>
  <cp:keywords/>
  <dcterms:created xsi:type="dcterms:W3CDTF">2025-07-22T19:15:50Z</dcterms:created>
  <dcterms:modified xsi:type="dcterms:W3CDTF">2025-07-22T19:15:50Z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style">
    <vt:lpwstr>plain</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visual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