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 Data Stewardship for Salmon Biologists</w:t>
      </w:r>
    </w:p>
    <w:p>
      <w:pPr>
        <w:pStyle w:val="Subtitle"/>
      </w:pPr>
      <w:r>
        <w:t xml:space="preserve">DRAFT A Blueprint for Domain-Specific Best Practices</w:t>
      </w:r>
    </w:p>
    <w:p>
      <w:pPr>
        <w:pStyle w:val="FirstParagraph"/>
      </w:pPr>
      <w:r>
        <w:rPr>
          <w:b/>
          <w:bCs/>
        </w:rPr>
        <w:t xml:space="preserve">Keywords:</w:t>
      </w:r>
      <w:r>
        <w:t xml:space="preserve"> </w:t>
      </w:r>
      <w:r>
        <w:t xml:space="preserve">Salmon data stewardship, data interoperability, FAIR principles, persistent identifiers (PIDs), controlled vocabularies, metadata standards, application programming Interface (API), data citation, ontology development</w:t>
      </w:r>
    </w:p>
    <w:bookmarkStart w:id="20" w:name="abstract"/>
    <w:p>
      <w:pPr>
        <w:pStyle w:val="Heading3"/>
      </w:pPr>
      <w:r>
        <w:t xml:space="preserve">Abstract</w:t>
      </w:r>
    </w:p>
    <w:p>
      <w:pPr>
        <w:pStyle w:val="FirstParagraph"/>
      </w:pPr>
      <w:r>
        <w:t xml:space="preserve">Fisheries management, research, and broader conservation efforts increasingly generate vast, diverse datasets needed for timely decision-making. Yet these data remain fragmented across jurisdictions, disciplines, and legacy infrastructure, limiting responsive management. The lack of access, interoperability, and reuse of data are major impediments to better science; data stewardship—the set of social and technical practices that ensure data are responsibly created, managed, shared, and reused over time—is the solution.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Through a case study of a historically important sockeye salmon productivity analysis that spanned Pacific Coast jurisdictions, we highlight how clearly defined data stewardship practices could improve data integration, management efficacy, and reduce the overall cost of updating the analysis annually. We provide practical guidance for those transitioning into these essential stewardship roles, including salmon domain specific data tools, templates, and examples. These practices integrate both sociocultural and technical approaches to ensure data meet modern open science principles and respect Indigenous Data Sovereignty. With a foundation of shared practices, data stewards will enable faster, more transparent decision-making. They will expand the reuse of cross-jurisdictional datasets and support machine-actionable data with high-quality metadata and consistent semantics. Together, these outcomes strengthen the management and conservation of salmon populations and the ecosystems they inhabit, with broader relevance to other data-rich fisheries domains.</w:t>
      </w:r>
    </w:p>
    <w:bookmarkEnd w:id="20"/>
    <w:bookmarkStart w:id="24" w:name="the-data-stewardship-challenge"/>
    <w:p>
      <w:pPr>
        <w:pStyle w:val="Heading2"/>
      </w:pPr>
      <w:r>
        <w:t xml:space="preserve">The Data Stewardship Challenge</w:t>
      </w:r>
    </w:p>
    <w:p>
      <w:pPr>
        <w:pStyle w:val="FirstParagraph"/>
      </w:pPr>
      <w:r>
        <w:t xml:space="preserve">Effective fisheries management relies on robust, accessible data on abundance, health, and environmental conditions integrated over large spatial areas and fine temporal scales. Yet across many fisheries, data remain fragmented, inconsistently measured, and incomplete across time, space, and life history stages, which limits their value for research, hypothesis testing, and decision-making</w:t>
      </w:r>
      <w:r>
        <w:t xml:space="preserve"> </w:t>
      </w:r>
      <w:r>
        <w:t xml:space="preserve">Marmorek et al. (2011)</w:t>
      </w:r>
      <w:r>
        <w:t xml:space="preserve">;</w:t>
      </w:r>
      <w:r>
        <w:t xml:space="preserve"> </w:t>
      </w:r>
      <w:r>
        <w:t xml:space="preserve">Inman et al. (2021)</w:t>
      </w:r>
      <w:r>
        <w:t xml:space="preserve">;</w:t>
      </w:r>
      <w:r>
        <w:t xml:space="preserve"> </w:t>
      </w:r>
      <w:r>
        <w:t xml:space="preserve">Diack et al. (2024)</w:t>
      </w:r>
      <w:r>
        <w:t xml:space="preserve">. Collections are often managed by diverse agencies and organizations in isolation, undermining timely, integrated analyses necessary for adaptive management. The absence of organizational support and dedicated roles for data stewardship further compounds this problem, with critical tasks often treated as ad hoc responsibilities rather than core management functions. These issues limit the utility of these data for research and management.</w:t>
      </w:r>
    </w:p>
    <w:bookmarkStart w:id="21" w:name="fragmented-landscapes"/>
    <w:p>
      <w:pPr>
        <w:pStyle w:val="Heading3"/>
      </w:pPr>
      <w:r>
        <w:t xml:space="preserve">Fragmented Landscapes</w:t>
      </w:r>
    </w:p>
    <w:p>
      <w:pPr>
        <w:pStyle w:val="FirstParagraph"/>
      </w:pPr>
      <w:r>
        <w:t xml:space="preserve">For salmon in particular, the integration and mobilization of salmon data mirrors the complexity of their life cycle, life histories, and migrations across ecological regions</w:t>
      </w:r>
      <w:r>
        <w:t xml:space="preserve"> </w:t>
      </w:r>
      <w:r>
        <w:t xml:space="preserve">(Groot and Margolis 1991)</w:t>
      </w:r>
      <w:r>
        <w:t xml:space="preserve"> </w:t>
      </w:r>
      <w:r>
        <w:t xml:space="preserve">and jurisdictional boundaries. Salmon biologists routinely collect information managed by diverse agencies and organizations, often isolated within their operational context and without a focus on interoperability. While localized successes in data coordination exist—particularly within regional fisheries management offices and treaty commissions</w:t>
      </w:r>
      <w:r>
        <w:t xml:space="preserve"> </w:t>
      </w:r>
      <w:r>
        <w:t xml:space="preserve">(</w:t>
      </w:r>
      <w:r>
        <w:t xml:space="preserve">“Fraser</w:t>
      </w:r>
      <w:r>
        <w:t xml:space="preserve"> </w:t>
      </w:r>
      <w:r>
        <w:t xml:space="preserve">River</w:t>
      </w:r>
      <w:r>
        <w:t xml:space="preserve"> </w:t>
      </w:r>
      <w:r>
        <w:t xml:space="preserve">Panel</w:t>
      </w:r>
      <w:r>
        <w:t xml:space="preserve"> </w:t>
      </w:r>
      <w:r>
        <w:t xml:space="preserve">Data</w:t>
      </w:r>
      <w:r>
        <w:t xml:space="preserve"> </w:t>
      </w:r>
      <w:r>
        <w:t xml:space="preserve">Application</w:t>
      </w:r>
      <w:r>
        <w:t xml:space="preserve">”</w:t>
      </w:r>
      <w:r>
        <w:t xml:space="preserve"> </w:t>
      </w:r>
      <w:r>
        <w:t xml:space="preserve">2025)</w:t>
      </w:r>
      <w:r>
        <w:t xml:space="preserve">—salmon data integrated across agencies for each phase of the salmon life cycle is uncommon and costly for most programs. Even within organizations, data can be siloed by data type with freshwater, estuary, open-ocean, and commercial fishery data each housed in separate data systems with limited ability to easily re-connect the data through shared identifiers. The result is a highly fragmented data landscape that spans agencies, organizations, and monitoring programs, making integration especially difficult. This lack of coordinated stewardship has become a significant impediment for adaptive salmon management and conservation, preventing the full use of existing data to inform timely and effective decisions.</w:t>
      </w:r>
    </w:p>
    <w:p>
      <w:pPr>
        <w:pStyle w:val="BodyText"/>
      </w:pPr>
      <w:r>
        <w:t xml:space="preserve">This fragmentation is compounded by the number of scientific disciplines involved in piecing together a comprehensive understanding of individual salmon stocks. Geneticists, oceanographers, freshwater ecologists, stock assessment biologists, and fisheries managers are just a sample of disciplines that contribute data to piece together a complete life history for a salmon population. Each uses their own domain-specific conventions and workflows, standards, and metadata. This tangle of disciplinary and organizational fragmentation slows integration, hinders reproducibility, and delays analyses that could otherwise inform time-sensitive management decisions, conservation actions, or restoration plans.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When critical datasets are hard to find, access, or interpret, biologists and analysts lose valuable time trying to reconstruct or harmonize them. This reduces transparency, increases the risk of errors, delays urgent conservation or management responses, which in turn undermines the public trust in both the science and the resulting management decisions. Modernizing these systems will require coordinated communities of practices, shared practices, and shifting collective expectations and culture towards shared international data standards and stewardship practices that accommodate the full disciplinary and geographic diversity of salmon science.</w:t>
      </w:r>
    </w:p>
    <w:bookmarkEnd w:id="21"/>
    <w:bookmarkStart w:id="22" w:name="coordinated-data-stewardship"/>
    <w:p>
      <w:pPr>
        <w:pStyle w:val="Heading3"/>
      </w:pPr>
      <w:r>
        <w:t xml:space="preserve">Coordinated Data Stewardship</w:t>
      </w:r>
    </w:p>
    <w:p>
      <w:pPr>
        <w:pStyle w:val="FirstParagraph"/>
      </w:pPr>
      <w:r>
        <w:t xml:space="preserve">Data stewardship offers to face the growing challenges in salmon management from escalating environmental uncertainties due to climate change which demands rapid, regionally integrated, and robust data</w:t>
      </w:r>
      <w:r>
        <w:t xml:space="preserve"> </w:t>
      </w:r>
      <w:r>
        <w:t xml:space="preserve">Ward et al. (2025)</w:t>
      </w:r>
      <w:r>
        <w:t xml:space="preserve">. The mismatch between fragmented data systems and fixed administrative and jurisdictional boundaries creates an urgent need for interoperable, dynamic, multi-scale data stewardship that can adapt to shifting ecological and management priorities. Despite the scale and importance of these datasets, biologists who collect and manage salmon data are ofteno expected to act as de facto data stewards without training, guidance, incentives, organizational support, or access to community-agreed best practices. Tasks such as documenting methods, aligning terminology, formatting for data sharing, and publishing data are typically performed off the side of a biologist’s desk. Done well, data stewardship is skilled, labor-intensive work—combining domain expertise, information science, and relationship-building—and it requires dedicated time and institutional support rather than ad hoc effort. A lack of organizational support</w:t>
      </w:r>
      <w:r>
        <w:t xml:space="preserve"> </w:t>
      </w:r>
      <w:r>
        <w:t xml:space="preserve">(Diack et al. 2024)</w:t>
      </w:r>
      <w:r>
        <w:t xml:space="preserve">, training</w:t>
      </w:r>
      <w:r>
        <w:t xml:space="preserve"> </w:t>
      </w:r>
      <w:r>
        <w:t xml:space="preserve">(Volk, Lucero, and Barnas 2014)</w:t>
      </w:r>
      <w:r>
        <w:t xml:space="preserve">, and dedicated roles for data management further relegate critical data stewardship tasks to an</w:t>
      </w:r>
      <w:r>
        <w:t xml:space="preserve"> </w:t>
      </w:r>
      <w:r>
        <w:rPr>
          <w:i/>
          <w:iCs/>
        </w:rPr>
        <w:t xml:space="preserve">ad hoc</w:t>
      </w:r>
      <w:r>
        <w:t xml:space="preserve"> </w:t>
      </w:r>
      <w:r>
        <w:t xml:space="preserve">status. Deferred documentation, governance, and standardization tasks accumulate as data technical debt—work left undone that compounds over time, making integration and reanalysis progressively slower and more error-prone.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Due to a lack of practical resources, both salmon biologists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Rodriguez-Lonebear, and Martinez 2019; Jennings et al. 2023)</w:t>
      </w:r>
      <w:r>
        <w:t xml:space="preserve">. Adhering to CARE data management principles is all the more important when it comes to salmon related data given the sociocultural importance of salmon to First Nations, Tribes, and Indigenous communities throughout the North Pacific and North Atlantic regions</w:t>
      </w:r>
      <w:r>
        <w:t xml:space="preserve"> </w:t>
      </w:r>
      <w:r>
        <w:t xml:space="preserve">(Ween and Colombi 2013; Earth Economics 2021)</w:t>
      </w:r>
      <w:r>
        <w:t xml:space="preserve">. While both FAIR and CARE present laudable goals with respect to data stewardship, these sets of principles can sometimes be at odds with each other and implementing both presents an inherent challenge. Nonetheless, several of the best practices we propose can help clarify shared objectives and increase transparency and trust that is essential for integrating both FAIR and CARE principles. Without clear support and guidance, well-intentioned practitioners are left with ad hoc approaches that limit reuse and interoperability. This gap can only be bridged by equipping both data producers and stewards with tools, support, and organizational backing to publish interoperable, machine-readable metadata and datasets in alignment with shared principles.</w:t>
      </w:r>
    </w:p>
    <w:bookmarkEnd w:id="22"/>
    <w:bookmarkStart w:id="23" w:name="framework-for-action"/>
    <w:p>
      <w:pPr>
        <w:pStyle w:val="Heading3"/>
      </w:pPr>
      <w:r>
        <w:t xml:space="preserve">Framework for Action</w:t>
      </w:r>
    </w:p>
    <w:p>
      <w:pPr>
        <w:pStyle w:val="FirstParagraph"/>
      </w:pPr>
      <w:r>
        <w:t xml:space="preserve">In this paper, we provide a framework for translating data stewardship principles into actionable practices, examples, and workflows to help salmon biologists improve the usability, traceability, and long-term impact of their data. We offer seven practices for salmon data stewardship</w:t>
      </w:r>
      <w:r>
        <w:t xml:space="preserve"> </w:t>
      </w:r>
      <w:hyperlink w:anchor="tbl-bestpractices">
        <w:r>
          <w:rPr>
            <w:rStyle w:val="Hyperlink"/>
          </w:rPr>
          <w:t xml:space="preserve">Table 1</w:t>
        </w:r>
      </w:hyperlink>
      <w:r>
        <w:t xml:space="preserve"> </w:t>
      </w:r>
      <w:r>
        <w:t xml:space="preserve">and use a retrospective, real-world case study of cross-jurisdictional sockeye productivity synthesis</w:t>
      </w:r>
      <w:r>
        <w:t xml:space="preserve"> </w:t>
      </w:r>
      <w:r>
        <w:t xml:space="preserve">(Peterman and Dorner 2012)</w:t>
      </w:r>
      <w:r>
        <w:t xml:space="preserve">to illustrate how the absence of shared practices made integration time-consuming and keeps annual updates costly and difficult to this day. To support adoption, we provide real-world examples from multiple organizations (Appendix 1), a training roadmap for biologists taking on stewardship responsibilities (Appendix 2), and a getting-started checklist (Appendix 3). We also map the seven practices to widely used data-lifecycle model</w:t>
      </w:r>
      <w:r>
        <w:t xml:space="preserve"> </w:t>
      </w:r>
      <w:hyperlink w:anchor="tbl-lifecycle">
        <w:r>
          <w:rPr>
            <w:rStyle w:val="Hyperlink"/>
          </w:rPr>
          <w:t xml:space="preserve">Table 2</w:t>
        </w:r>
      </w:hyperlink>
      <w:r>
        <w:t xml:space="preserve"> </w:t>
      </w:r>
      <w:r>
        <w:t xml:space="preserve">to make adaptation straightforward outside salmon contexts. Although salmon provide the worked example, the approach is intended as a transferable blueprint: other scientific communities can substitute their own vocabularies, repositories, governance structures, and incentives to turn data stewardship principles in to practical applications.</w:t>
      </w:r>
    </w:p>
    <w:p>
      <w:pPr>
        <w:pStyle w:val="BodyText"/>
      </w:pPr>
      <w:r>
        <w:t xml:space="preserve">A coordinated approach to stewarding salmon data should follow established open science standards and principles</w:t>
      </w:r>
      <w:r>
        <w:t xml:space="preserve"> </w:t>
      </w:r>
      <w:r>
        <w:t xml:space="preserve">(Johnson and Stap 2024; Wilkinson et al. 2016; Carroll et al. 2020)</w:t>
      </w:r>
      <w:r>
        <w:t xml:space="preserve">, tailored specifically within the context of salmon research and management. Our practices build upon and extend existing data and metadata standards and infrastructure including Darwin Core, OBIS, schema.org, and OBO Foundry ontologies, ensuring compatibility with broader biodiversity informatics infrastructure while avoiding reinventing foundational frameworks. Achieving meaningful interoperability of data among programs, organizations and scientific domains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openly for maximum discoverability.</w:t>
      </w:r>
      <w:r>
        <w:t xml:space="preserve"> </w:t>
      </w:r>
      <w:r>
        <w:rPr>
          <w:b/>
          <w:bCs/>
        </w:rPr>
        <w:t xml:space="preserve">Deep interoperability</w:t>
      </w:r>
      <w:r>
        <w:t xml:space="preserve"> </w:t>
      </w:r>
      <w:r>
        <w:t xml:space="preserve">demands precise definitions of domain-specific terms and methods, ensuring data remains meaningful and usable across contexts. Salmon data stewards can improve outcomes for salmon by coordinating across boundaries to develop a shared foundation of data stewardship practices. To address these foundational challenges, we must establish clear data stewardship roles and practices that span the entire data lifecycle and salmon lifecycle—from collection and documentation through integration, long-term preservation, and reuse and from gravel to estuary and the high seas back to the gravel.</w:t>
      </w:r>
    </w:p>
    <w:bookmarkEnd w:id="23"/>
    <w:bookmarkEnd w:id="24"/>
    <w:bookmarkStart w:id="28"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Plotkin 2014; Peng et al. 2018)</w:t>
      </w:r>
      <w:r>
        <w:t xml:space="preserve">. It includes ensuring data quality, compliance with agreed-upon standards, and the establishment of clear governance to guide data collection, documentation, integration, and preservation. However, given the complexity of the salmon data landscape, stewardship goes beyond mere technical data management to include actively facilitating collaboration, communication, and consensus-building among data producers and users across multiple organizations and jurisdictions.</w:t>
      </w:r>
    </w:p>
    <w:p>
      <w:pPr>
        <w:pStyle w:val="BodyText"/>
      </w:pPr>
      <w:r>
        <w:t xml:space="preserve">Data stewardship represents a critical sub-discipline within the broader field of data science. While data science is often narrowly associated with machine learning and statistical modeling, we adopt a more comprehensive view that encompasses how we treat, handle, and represent data, along with the social and technical information systems that enable data-intensive science. Data stewardship focuses on the practical implementation of these principles—ensuring that data infrastructure, standards, and practices actually serve scientific and management needs rather than remaining theoretical constructs.</w:t>
      </w:r>
    </w:p>
    <w:p>
      <w:pPr>
        <w:pStyle w:val="BodyText"/>
      </w:pPr>
      <w:r>
        <w:t xml:space="preserve">Effective salmon data stewards serve as boundary spanners bridging agencies, Nations, and disciplines serving as community coordinators, convening diverse stakeholders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These responsibilities demand specialized expertise and sustained effort; without dedicated capacity, standards and workflows tend to degrade, and technical debt accumulates.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Critical Functions of Salmon Data Stewards</w:t>
            </w:r>
          </w:p>
        </w:tc>
      </w:tr>
      <w:tr>
        <w:trPr>
          <w:cantSplit/>
        </w:trPr>
        <w:tc>
          <w:tcPr>
            <w:tcMar>
              <w:top w:w="108" w:type="dxa"/>
              <w:bottom w:w="108" w:type="dxa"/>
            </w:tcMar>
          </w:tcPr>
          <w:p>
            <w:pPr>
              <w:pStyle w:val="BodyText"/>
            </w:pPr>
            <w:pPr>
              <w:spacing w:before="16"/>
            </w:pPr>
            <w:r>
              <w:t xml:space="preserve">Effective salmon data stewards perform several critical functions:</w:t>
            </w:r>
          </w:p>
          <w:p>
            <w:pPr>
              <w:numPr>
                <w:ilvl w:val="0"/>
                <w:numId w:val="1001"/>
              </w:numPr>
            </w:pPr>
            <w:r>
              <w:rPr>
                <w:b/>
                <w:bCs/>
              </w:rPr>
              <w:t xml:space="preserve">Technical oversight</w:t>
            </w:r>
            <w:r>
              <w:t xml:space="preserve">: Ensuring metadata completeness, adherence to standardized terminologies and vocabularies, and robust quality assurance protocols.</w:t>
            </w:r>
          </w:p>
          <w:p>
            <w:pPr>
              <w:numPr>
                <w:ilvl w:val="0"/>
                <w:numId w:val="1001"/>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1"/>
              </w:numPr>
            </w:pPr>
            <w:r>
              <w:rPr>
                <w:b/>
                <w:bCs/>
              </w:rPr>
              <w:t xml:space="preserve">Organizational advocacy</w:t>
            </w:r>
            <w:r>
              <w:t xml:space="preserve">: Championing the organizational recognition of data stewardship roles, promoting sustained investment and dedicated resources for data management infrastructure and practices.</w:t>
            </w:r>
          </w:p>
          <w:p>
            <w:pPr>
              <w:numPr>
                <w:ilvl w:val="0"/>
                <w:numId w:val="1001"/>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FAIR is sometimes interpreted as</w:t>
      </w:r>
      <w:r>
        <w:t xml:space="preserve"> </w:t>
      </w:r>
      <w:r>
        <w:t xml:space="preserve">“open by default,”</w:t>
      </w:r>
      <w:r>
        <w:t xml:space="preserve"> </w:t>
      </w:r>
      <w:r>
        <w:t xml:space="preserve">but it does not require unrestricted openness; rather, it requires that data and metadata be discoverable and accessible under explicit, machine-readable conditions. CARE’s Authority to Control can therefore place legitimate constraints on access and reuse, particularly when data are held or governed by First Nations, Tribes, and Indigenous Peoples. In these cases, stewardship often means publishing rich, standards-aligned metadata while implementing governed access, consent-aware reuse conditions, and culturally appropriate protocols for the data themselves. For example, stewards can document consent constraints in metadata fields and enforce access restrictions via repository user roles, ensuring that Indigenous data sovereignty is respected while maintaining data discoverability and appropriate reuse</w:t>
      </w:r>
      <w:r>
        <w:t xml:space="preserve"> </w:t>
      </w:r>
      <w:r>
        <w:t xml:space="preserve">(Montenegro 2019; Local Contexts 2025)</w:t>
      </w:r>
      <w:r>
        <w:t xml:space="preserve">. This governance approach is particularly critical for sensitive data such as Traditional Knowledge and sensitive habitat locations, where stewardship practices must balance open science principles with appropriate access controls and cultural protocols.</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requires IT to act as an enabler, rather than gatekeeper, provisioning self-serve data infrastructure. The Data Steward, serving as a translator between IT and biologists, enables biologists to engage independently with data systems, fostering ownership and accountability and ultimately improving data quality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28"/>
    <w:bookmarkStart w:id="36" w:name="Xd59215525a6daec1413c2c94b2fd89cbb47b38e"/>
    <w:p>
      <w:pPr>
        <w:pStyle w:val="Heading2"/>
      </w:pPr>
      <w:r>
        <w:t xml:space="preserve">Updating Sockeye Productivity Synthesis: A Case Study for What Agencies Could Do Now</w:t>
      </w:r>
    </w:p>
    <w:p>
      <w:pPr>
        <w:pStyle w:val="FirstParagraph"/>
      </w:pPr>
      <w:r>
        <w:t xml:space="preserve">This case study revisits a comprehensive sockeye productivity dataset assembled from several agency sources by academic researchers</w:t>
      </w:r>
      <w:r>
        <w:t xml:space="preserve"> </w:t>
      </w:r>
      <w:r>
        <w:t xml:space="preserve">(Peterman and Dorner 2012)</w:t>
      </w:r>
      <w:r>
        <w:t xml:space="preserve">. We reflect not on the significant work the research team accomplished, but rather on the preventable organizational and technical barriers that impeded their work—and continue to burden data compilation updates and reuse efforts today. Their study examined productivity trends across 64 sockeye salmon stocks spanning Washington, British Columbia (B.C.), and Alaska and found common trends in declining productivity across the North American range of sockeye salmon</w:t>
      </w:r>
      <w:r>
        <w:t xml:space="preserve"> </w:t>
      </w:r>
      <w:r>
        <w:t xml:space="preserve">(Peterman and Dorner 2012)</w:t>
      </w:r>
      <w:r>
        <w:t xml:space="preserve">. This work was important for sockeye conservation and management in that it pointed to common, broad-scale marine trends in sockeye salmon productivity, rather than idiosyncratic stock-specific, freshwater effects—an insight not accessible without a monumental data integration effort. Attempting to replicate or build upon this analysis today is an arduous, time-consuming, and error-prone endeavour due to fragmented data sources, inconsistent formats, and lack of standardized practices among the key organizations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 practices (</w:t>
      </w:r>
      <w:hyperlink w:anchor="tbl-bestpractices">
        <w:r>
          <w:rPr>
            <w:rStyle w:val="Hyperlink"/>
          </w:rPr>
          <w:t xml:space="preserve">Table 1</w:t>
        </w:r>
      </w:hyperlink>
      <w:r>
        <w:t xml:space="preserve">) that data-holding agencies could do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29"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2"/>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2"/>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29"/>
    <w:bookmarkStart w:id="30"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application programming interface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3"/>
        </w:numPr>
      </w:pPr>
      <w:r>
        <w:rPr>
          <w:b/>
          <w:bCs/>
        </w:rPr>
        <w:t xml:space="preserve">Best Practice 2: Reuse Proven Infrastructure to Save Time and Increase Interoperability</w:t>
      </w:r>
      <w:r>
        <w:br/>
      </w:r>
      <w:r>
        <w:t xml:space="preserve">Rather than developing bespoke data catalogues or repositories, agencies should adopt existing catalogues used beyond their own organization such as the Ocean Biodiversity Information System, Zenodo, or the Knowledge Network for Biocomplexity). These are proven platforms with a broad user base that support persistent storage, discoverability, and interoperability.</w:t>
      </w:r>
    </w:p>
    <w:p>
      <w:pPr>
        <w:numPr>
          <w:ilvl w:val="0"/>
          <w:numId w:val="1003"/>
        </w:numPr>
      </w:pPr>
      <w:r>
        <w:rPr>
          <w:b/>
          <w:bCs/>
        </w:rPr>
        <w:t xml:space="preserve">Best Practice 5: Store and Analyze Data in Ways That Others Can Easily Access, Use, and Trust</w:t>
      </w:r>
      <w:r>
        <w:br/>
      </w:r>
      <w:r>
        <w:t xml:space="preserve">Agencies can use open-access data repositories or their own organizational data repositories or catalogues that make data discoverable using PIDs and provide programmatic access to data possible using APIs.</w:t>
      </w:r>
    </w:p>
    <w:bookmarkEnd w:id="30"/>
    <w:bookmarkStart w:id="32"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4"/>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responsibility matrix such as</w:t>
      </w:r>
      <w:r>
        <w:t xml:space="preserve"> </w:t>
      </w:r>
      <w:r>
        <w:t xml:space="preserve">“responsible, approver, consulted, informed”</w:t>
      </w:r>
      <w:r>
        <w:t xml:space="preserve"> </w:t>
      </w:r>
      <w:r>
        <w:t xml:space="preserve">(RACI) to clarify governance, assign maintenance responsibility, and ensure continuity across staff turnover and organizational change.</w:t>
      </w:r>
    </w:p>
    <w:p>
      <w:pPr>
        <w:numPr>
          <w:ilvl w:val="0"/>
          <w:numId w:val="1004"/>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4"/>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barriers encountered in compiling, interpreting, and maintaining the data made the work considerably more difficult than necessary and hinder efforts by others seeking to extend or build upon this work, they remain instructive. These challenges are not unique to Peterman’s team—they reflect systemic gaps in data governance, documentation, infrastructure, and incentives. By adopting the seven best practices detailed in</w:t>
      </w:r>
      <w:r>
        <w:t xml:space="preserve"> </w:t>
      </w:r>
      <w:hyperlink w:anchor="tbl-bestpractices">
        <w:r>
          <w:rPr>
            <w:rStyle w:val="Hyperlink"/>
          </w:rPr>
          <w:t xml:space="preserve">Table 1</w:t>
        </w:r>
      </w:hyperlink>
      <w:r>
        <w:t xml:space="preserve">, organizations and researchers can transform legacy datasets into living resources, enabling reuse, easing collaboration, and accelerating insight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tbl>
      <w:tblPr>
        <w:tblStyle w:val="Table"/>
        <w:tblW w:type="pct" w:w="5000"/>
        <w:tblLayout w:type="fixed"/>
        <w:tblLook w:firstRow="0" w:lastRow="0" w:firstColumn="0" w:lastColumn="0" w:noHBand="0" w:noVBand="0" w:val="0000"/>
      </w:tblPr>
      <w:tblGrid>
        <w:gridCol w:w="7920"/>
      </w:tblGrid>
      <w:tr>
        <w:tc>
          <w:tcPr/>
          <w:bookmarkStart w:id="31" w:name="tbl-bestpractices"/>
          <w:p>
            <w:pPr>
              <w:jc w:val="center"/>
            </w:pPr>
            <w:pPr>
              <w:jc w:val="left"/>
              <w:spacing w:before="200"/>
              <w:pStyle w:val="ImageCaption"/>
            </w:pPr>
            <w:r>
              <w:t xml:space="preserve">Table 1: Best practices and practical applications of salmon data stewardship</w:t>
            </w:r>
          </w:p>
          <w:tbl>
            <w:tblPr>
              <w:tblStyle w:val="Table"/>
              <w:tblW w:type="pct" w:w="5000"/>
              <w:tblLayout w:type="fixed"/>
              <w:tblLook w:firstRow="1" w:lastRow="0" w:firstColumn="0" w:lastColumn="0" w:noHBand="0" w:noVBand="0" w:val="0020"/>
            </w:tblPr>
            <w:tblGrid>
              <w:gridCol w:w="5571"/>
              <w:gridCol w:w="2348"/>
            </w:tblGrid>
            <w:tr>
              <w:trPr>
                <w:tblHeader w:val="on"/>
              </w:trPr>
              <w:tc>
                <w:tcPr/>
                <w:p>
                  <w:pPr>
                    <w:pStyle w:val="Compact"/>
                    <w:jc w:val="left"/>
                    <w:jc w:val="center"/>
                  </w:pPr>
                  <w:r>
                    <w:t xml:space="preserve">Best Practice</w:t>
                  </w:r>
                </w:p>
              </w:tc>
              <w:tc>
                <w:tcPr/>
                <w:p>
                  <w:pPr>
                    <w:pStyle w:val="Compact"/>
                    <w:jc w:val="left"/>
                    <w:jc w:val="center"/>
                  </w:pPr>
                  <w:r>
                    <w:t xml:space="preserve">Start here</w:t>
                  </w:r>
                </w:p>
              </w:tc>
            </w:tr>
            <w:tr>
              <w:tc>
                <w:tcPr/>
                <w:p>
                  <w:pPr>
                    <w:pStyle w:val="Compact"/>
                    <w:jc w:val="left"/>
                    <w:jc w:val="center"/>
                  </w:pPr>
                  <w:r>
                    <w:rPr>
                      <w:b/>
                      <w:bCs/>
                    </w:rPr>
                    <w:t xml:space="preserve">1. Make Data Governance Foundational and Explicit to Establish and Sustain Trust and Reuse.</w:t>
                  </w:r>
                  <w:r>
                    <w:t xml:space="preserve"> </w:t>
                  </w:r>
                  <w:r>
                    <w:t xml:space="preserve">Establishing clear governance structures promotes quality, accountability, and alignment with FAIR and CARE principles enabling trust and long-term stewardship across multi-organization projects.</w:t>
                  </w:r>
                </w:p>
              </w:tc>
              <w:tc>
                <w:tcPr/>
                <w:p>
                  <w:pPr>
                    <w:jc w:val="left"/>
                    <w:jc w:val="center"/>
                  </w:pPr>
                  <w:r>
                    <w:t xml:space="preserve">- Document roles and responsibilities using a Data Product Governance Charter and structured responsibility frameworks.</w:t>
                  </w:r>
                </w:p>
                <w:p>
                  <w:pPr>
                    <w:jc w:val="left"/>
                    <w:jc w:val="center"/>
                  </w:pPr>
                  <w:r>
                    <w:t xml:space="preserve">- Integrate CARE principles to respect First Nations, Tribes, and Indigenous data rights.</w:t>
                  </w:r>
                </w:p>
                <w:p>
                  <w:pPr>
                    <w:jc w:val="left"/>
                    <w:jc w:val="center"/>
                  </w:pPr>
                  <w:r>
                    <w:t xml:space="preserve">- Form a governance or oversight committee to review data standards, timelines, and agreements.</w:t>
                  </w:r>
                </w:p>
              </w:tc>
            </w:tr>
            <w:tr>
              <w:tc>
                <w:tcPr/>
                <w:p>
                  <w:pPr>
                    <w:pStyle w:val="Compact"/>
                    <w:jc w:val="left"/>
                    <w:jc w:val="center"/>
                  </w:pPr>
                  <w:r>
                    <w:rPr>
                      <w:b/>
                      <w:bCs/>
                    </w:rPr>
                    <w:t xml:space="preserve">2. Reuse Proven Infrastructure to Save Time and Increase Interoperability.</w:t>
                  </w:r>
                  <w:r>
                    <w:t xml:space="preserve"> </w:t>
                  </w:r>
                  <w:r>
                    <w:t xml:space="preserve">Leveraging existing platforms and technologies by building on and extending them rather than building bespoke solutions reduces costs and improves long-term interoperability and sustainability.</w:t>
                  </w:r>
                </w:p>
              </w:tc>
              <w:tc>
                <w:tcPr/>
                <w:p>
                  <w:pPr>
                    <w:jc w:val="left"/>
                    <w:jc w:val="center"/>
                  </w:pPr>
                  <w:r>
                    <w:t xml:space="preserve">- Use domain-specific repositories</w:t>
                  </w:r>
                </w:p>
                <w:p>
                  <w:pPr>
                    <w:jc w:val="left"/>
                    <w:jc w:val="center"/>
                  </w:pPr>
                  <w:r>
                    <w:t xml:space="preserve">- Publish and archive data with KNB or Zenodo.</w:t>
                  </w:r>
                </w:p>
              </w:tc>
            </w:tr>
            <w:tr>
              <w:tc>
                <w:tcPr/>
                <w:p>
                  <w:pPr>
                    <w:pStyle w:val="Compact"/>
                    <w:jc w:val="left"/>
                    <w:jc w:val="center"/>
                  </w:pPr>
                  <w:r>
                    <w:rPr>
                      <w:b/>
                      <w:bCs/>
                    </w:rPr>
                    <w:t xml:space="preserve">3. Make Data, People, Projects, and Outputs Discoverable, Linked and Citable with Persistent Identifiers.</w:t>
                  </w:r>
                  <w:r>
                    <w:t xml:space="preserve"> </w:t>
                  </w:r>
                  <w:r>
                    <w:t xml:space="preserve">Persistent identifiers (PIDs) connect data with researchers, organizations, and outputs—supporting data citation, reuse, and automated attribution.</w:t>
                  </w:r>
                </w:p>
              </w:tc>
              <w:tc>
                <w:tcPr/>
                <w:p>
                  <w:pPr>
                    <w:jc w:val="left"/>
                    <w:jc w:val="center"/>
                  </w:pPr>
                  <w:r>
                    <w:t xml:space="preserve">- Encourage use of ORCIDs for researchers.</w:t>
                  </w:r>
                </w:p>
                <w:p>
                  <w:pPr>
                    <w:jc w:val="left"/>
                    <w:jc w:val="center"/>
                  </w:pPr>
                  <w:r>
                    <w:t xml:space="preserve">- Use ROR IDs for organizations.</w:t>
                  </w:r>
                </w:p>
                <w:p>
                  <w:pPr>
                    <w:jc w:val="left"/>
                    <w:jc w:val="center"/>
                  </w:pPr>
                  <w:r>
                    <w:t xml:space="preserve">- Assign DOIs via DataCite for data packages.</w:t>
                  </w:r>
                </w:p>
                <w:p>
                  <w:pPr>
                    <w:jc w:val="left"/>
                    <w:jc w:val="center"/>
                  </w:pPr>
                  <w:r>
                    <w:t xml:space="preserve">- Embed DOIs in dashboards and metadata.</w:t>
                  </w:r>
                </w:p>
              </w:tc>
            </w:tr>
            <w:tr>
              <w:tc>
                <w:tcPr/>
                <w:p>
                  <w:pPr>
                    <w:pStyle w:val="Compact"/>
                    <w:jc w:val="left"/>
                    <w:jc w:val="center"/>
                  </w:pPr>
                  <w:r>
                    <w:rPr>
                      <w:b/>
                      <w:bCs/>
                    </w:rPr>
                    <w:t xml:space="preserve">4. Use Shared Data Models, Vocabularies and Metadata to Enable Integration.</w:t>
                  </w:r>
                  <w:r>
                    <w:t xml:space="preserve"> </w:t>
                  </w:r>
                  <w:r>
                    <w:t xml:space="preserve">Common vocabularies, metadata standards, and ontologies support integration across systems and preserve semantic meaning.</w:t>
                  </w:r>
                </w:p>
              </w:tc>
              <w:tc>
                <w:tcPr/>
                <w:p>
                  <w:pPr>
                    <w:jc w:val="left"/>
                    <w:jc w:val="center"/>
                  </w:pPr>
                  <w:r>
                    <w:t xml:space="preserve">- Adopt ISO 19115, EML, or DataCite metadata standards.</w:t>
                  </w:r>
                </w:p>
                <w:p>
                  <w:pPr>
                    <w:jc w:val="left"/>
                    <w:jc w:val="center"/>
                  </w:pPr>
                  <w:r>
                    <w:t xml:space="preserve">- Re-use terms defined in Salmon Domain Ontology.</w:t>
                  </w:r>
                </w:p>
                <w:p>
                  <w:pPr>
                    <w:jc w:val="left"/>
                    <w:jc w:val="center"/>
                  </w:pPr>
                  <w:r>
                    <w:t xml:space="preserve">- Model datasets using the Darwin Core Data Package Model.</w:t>
                  </w:r>
                </w:p>
              </w:tc>
            </w:tr>
            <w:tr>
              <w:tc>
                <w:tcPr/>
                <w:p>
                  <w:pPr>
                    <w:pStyle w:val="Compact"/>
                    <w:jc w:val="left"/>
                    <w:jc w:val="center"/>
                  </w:pPr>
                  <w:r>
                    <w:rPr>
                      <w:b/>
                      <w:bCs/>
                    </w:rPr>
                    <w:t xml:space="preserve">5. Store and Analyze Data in Ways That Others Can Easily Access, Use and Trust.</w:t>
                  </w:r>
                  <w:r>
                    <w:t xml:space="preserve"> </w:t>
                  </w:r>
                  <w:r>
                    <w:t xml:space="preserve">Structured and accessible data formats ease reusability, and support integration with analytical tools and applications while data analyzed or wrangled using programmatic scripts (R, Python etc.) enable reproducibility and increase trust.</w:t>
                  </w:r>
                </w:p>
              </w:tc>
              <w:tc>
                <w:tcPr/>
                <w:p>
                  <w:pPr>
                    <w:jc w:val="left"/>
                    <w:jc w:val="center"/>
                  </w:pPr>
                  <w:r>
                    <w:t xml:space="preserve">- Provide APIs using FastAPI, Flask, or Django REST.</w:t>
                  </w:r>
                </w:p>
                <w:p>
                  <w:pPr>
                    <w:jc w:val="left"/>
                    <w:jc w:val="center"/>
                  </w:pPr>
                  <w:r>
                    <w:t xml:space="preserve">- Archive in trusted repositories (e.g., GBIF, FRDR, USGS).</w:t>
                  </w:r>
                </w:p>
                <w:p>
                  <w:pPr>
                    <w:jc w:val="left"/>
                    <w:jc w:val="center"/>
                  </w:pPr>
                  <w:r>
                    <w:t xml:space="preserve">- Write scripts in a programming language to wrangle, transform, and analyze data.</w:t>
                  </w:r>
                </w:p>
                <w:p>
                  <w:pPr>
                    <w:jc w:val="left"/>
                    <w:jc w:val="center"/>
                  </w:pPr>
                  <w:r>
                    <w:t xml:space="preserve">- Use GitHub to host code for collaboration and transparency and the GitHub / Zenodo integration for DOI assignment and preservation.</w:t>
                  </w:r>
                </w:p>
              </w:tc>
            </w:tr>
            <w:tr>
              <w:tc>
                <w:tcPr/>
                <w:p>
                  <w:pPr>
                    <w:pStyle w:val="Compact"/>
                    <w:jc w:val="lef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jc w:val="left"/>
                    <w:jc w:val="center"/>
                  </w:pPr>
                  <w:r>
                    <w:t xml:space="preserve">- License data with CC-BY 4.0.</w:t>
                  </w:r>
                </w:p>
                <w:p>
                  <w:pPr>
                    <w:jc w:val="left"/>
                    <w:jc w:val="center"/>
                  </w:pPr>
                  <w:r>
                    <w:t xml:space="preserve">- Include citation text and visible credit fields.</w:t>
                  </w:r>
                </w:p>
                <w:p>
                  <w:pPr>
                    <w:jc w:val="left"/>
                    <w:jc w:val="center"/>
                  </w:pPr>
                  <w:r>
                    <w:t xml:space="preserve">- Use COUNTER metrics and DataCite APIs to monitor reuse.</w:t>
                  </w:r>
                </w:p>
                <w:p>
                  <w:pPr>
                    <w:jc w:val="left"/>
                    <w:jc w:val="center"/>
                  </w:pPr>
                  <w:r>
                    <w:t xml:space="preserve">- Encourage dataset citation in references.</w:t>
                  </w:r>
                </w:p>
              </w:tc>
            </w:tr>
            <w:tr>
              <w:tc>
                <w:tcPr/>
                <w:p>
                  <w:pPr>
                    <w:pStyle w:val="Compact"/>
                    <w:jc w:val="lef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jc w:val="left"/>
                    <w:jc w:val="center"/>
                  </w:pPr>
                  <w:r>
                    <w:t xml:space="preserve">- Participate in RDA Salmon Interest Group.</w:t>
                  </w:r>
                </w:p>
                <w:p>
                  <w:pPr>
                    <w:jc w:val="left"/>
                    <w:jc w:val="center"/>
                  </w:pPr>
                  <w:r>
                    <w:t xml:space="preserve">- Facilitate workshops for metadata and vocabulary alignment.</w:t>
                  </w:r>
                </w:p>
                <w:p>
                  <w:pPr>
                    <w:jc w:val="left"/>
                    <w:jc w:val="center"/>
                  </w:pPr>
                  <w:r>
                    <w:t xml:space="preserve">- Support community-engaged research with tangible benefits.</w:t>
                  </w:r>
                </w:p>
              </w:tc>
            </w:tr>
          </w:tbl>
          <w:bookmarkEnd w:id="31"/>
          <w:p/>
        </w:tc>
      </w:tr>
    </w:tbl>
    <w:bookmarkEnd w:id="32"/>
    <w:bookmarkStart w:id="33" w:name="X4a622e91370b4ade7d1994003fe12cab1d1f41d"/>
    <w:p>
      <w:pPr>
        <w:pStyle w:val="Heading3"/>
      </w:pPr>
      <w:r>
        <w:t xml:space="preserve">Metadata governance as a cross-cutting foundation</w:t>
      </w:r>
    </w:p>
    <w:p>
      <w:pPr>
        <w:pStyle w:val="FirstParagraph"/>
      </w:pPr>
      <w:r>
        <w:t xml:space="preserve">Unlike the sequential stages of the data lifecycle, metadata governance operates as a continuous, cross-cutting practice that spans all phases simultaneously. While data moves through Plan → Obtain → Process → Preserve → Access → Disposition, metadata governance must be active throughout, ensuring that documentation, quality control, and discoverability are maintained at every stage. This cross-cutting nature means that metadata governance failures at any point can compromise the entire data stewardship effort, making it a critical foundation rather than a discrete step in the process.</w:t>
      </w:r>
    </w:p>
    <w:p>
      <w:pPr>
        <w:pStyle w:val="BodyText"/>
      </w:pPr>
      <w:r>
        <w:t xml:space="preserve">The lifecycle mapping in</w:t>
      </w:r>
      <w:r>
        <w:t xml:space="preserve"> </w:t>
      </w:r>
      <w:hyperlink w:anchor="tbl-lifecycle">
        <w:r>
          <w:rPr>
            <w:rStyle w:val="Hyperlink"/>
          </w:rPr>
          <w:t xml:space="preserve">Table 2</w:t>
        </w:r>
      </w:hyperlink>
      <w:r>
        <w:t xml:space="preserve"> </w:t>
      </w:r>
      <w:r>
        <w:t xml:space="preserve">reveals that data governance elements appear in every stage: planning metadata requirements (Plan), documenting collection methods (Obtain), structuring and validating metadata (Process), ensuring long-term preservation (Preserve), enabling discovery and access (Access), and managing final disposition (Disposition). This pervasive presence underscores why metadata governance must be treated as an organizational capability rather than a project-specific task, requiring dedicated resources, trained personnel, and systematic processes that operate continuously across all data activities.</w:t>
      </w:r>
    </w:p>
    <w:bookmarkEnd w:id="33"/>
    <w:bookmarkStart w:id="35" w:name="X41d5d802aea738a2721b3675e20455972e3cb16"/>
    <w:p>
      <w:pPr>
        <w:pStyle w:val="Heading3"/>
      </w:pPr>
      <w:r>
        <w:t xml:space="preserve">How our seven practices align to the data lifecycle model</w:t>
      </w:r>
    </w:p>
    <w:p>
      <w:pPr>
        <w:pStyle w:val="FirstParagraph"/>
      </w:pPr>
      <w:r>
        <w:t xml:space="preserve">Our seven best practices map directly to established data lifecycle models, demonstrating their broad applicability beyond salmon science. The NOAA Data Lifecycle provides a widely recognized framework with six sequential stages (Plan, Obtain, Process, Preserve, Access, Disposition) and four cross-cutting elements (Document, Track and Monitor, Quality, Security)</w:t>
      </w:r>
      <w:r>
        <w:t xml:space="preserve"> </w:t>
      </w:r>
      <w:r>
        <w:t xml:space="preserve">(NOAA Data Governance Committee 2024)</w:t>
      </w:r>
      <w:r>
        <w:t xml:space="preserve">. This alignment ensures our practices are grounded in established federal data management standards and can be readily adopted by other agencies and research communities.</w:t>
      </w:r>
    </w:p>
    <w:p>
      <w:pPr>
        <w:pStyle w:val="BodyText"/>
      </w:pPr>
      <w:r>
        <w:t xml:space="preserve">The mapping shown in</w:t>
      </w:r>
      <w:r>
        <w:t xml:space="preserve"> </w:t>
      </w:r>
      <w:hyperlink w:anchor="tbl-lifecycle">
        <w:r>
          <w:rPr>
            <w:rStyle w:val="Hyperlink"/>
          </w:rPr>
          <w:t xml:space="preserve">Table 2</w:t>
        </w:r>
      </w:hyperlink>
      <w:r>
        <w:t xml:space="preserve"> </w:t>
      </w:r>
      <w:r>
        <w:t xml:space="preserve">demonstrates how each practice addresses specific lifecycle stages while the cross-cutting elements ensure comprehensive data stewardship throughout the entire lifecycle. For example, Practice 1 (Data Governance) spans the entire lifecycle from planning through disposition, while Practice 4 (Shared Data Models) primarily supports the Process and Preserve stages. This systematic alignment with established frameworks enhances the credibility and portability of our approach across different domains and organizations.</w:t>
      </w:r>
    </w:p>
    <w:tbl>
      <w:tblPr>
        <w:tblStyle w:val="Table"/>
        <w:tblW w:type="pct" w:w="5000"/>
        <w:tblLayout w:type="fixed"/>
        <w:tblLook w:firstRow="0" w:lastRow="0" w:firstColumn="0" w:lastColumn="0" w:noHBand="0" w:noVBand="0" w:val="0000"/>
      </w:tblPr>
      <w:tblGrid>
        <w:gridCol w:w="7920"/>
      </w:tblGrid>
      <w:tr>
        <w:tc>
          <w:tcPr/>
          <w:bookmarkStart w:id="34" w:name="tbl-lifecycle"/>
          <w:p>
            <w:pPr>
              <w:jc w:val="center"/>
            </w:pPr>
            <w:pPr>
              <w:jc w:val="left"/>
              <w:spacing w:before="200"/>
              <w:pStyle w:val="ImageCaption"/>
            </w:pPr>
            <w:r>
              <w:t xml:space="preserve">Table 2: Mapping of seven best practices to NOAA Data Lifecycle stages and cross-cutting elements</w:t>
            </w:r>
          </w:p>
          <w:tbl>
            <w:tblPr>
              <w:tblStyle w:val="Table"/>
              <w:tblW w:type="pct" w:w="4748"/>
              <w:tblLayout w:type="fixed"/>
              <w:tblLook w:firstRow="1" w:lastRow="0" w:firstColumn="0" w:lastColumn="0" w:noHBand="0" w:noVBand="0" w:val="0020"/>
            </w:tblPr>
            <w:tblGrid>
              <w:gridCol w:w="2129"/>
              <w:gridCol w:w="532"/>
              <w:gridCol w:w="598"/>
              <w:gridCol w:w="665"/>
              <w:gridCol w:w="732"/>
              <w:gridCol w:w="598"/>
              <w:gridCol w:w="931"/>
              <w:gridCol w:w="1331"/>
            </w:tblGrid>
            <w:tr>
              <w:trPr>
                <w:tblHeader w:val="on"/>
              </w:trPr>
              <w:tc>
                <w:tcPr/>
                <w:p>
                  <w:pPr>
                    <w:pStyle w:val="Compact"/>
                    <w:jc w:val="left"/>
                    <w:jc w:val="center"/>
                  </w:pPr>
                  <w:r>
                    <w:t xml:space="preserve">Best Practice</w:t>
                  </w:r>
                </w:p>
              </w:tc>
              <w:tc>
                <w:tcPr/>
                <w:p>
                  <w:pPr>
                    <w:pStyle w:val="Compact"/>
                    <w:jc w:val="center"/>
                    <w:jc w:val="center"/>
                  </w:pPr>
                  <w:r>
                    <w:t xml:space="preserve">Plan</w:t>
                  </w:r>
                </w:p>
              </w:tc>
              <w:tc>
                <w:tcPr/>
                <w:p>
                  <w:pPr>
                    <w:pStyle w:val="Compact"/>
                    <w:jc w:val="center"/>
                    <w:jc w:val="center"/>
                  </w:pPr>
                  <w:r>
                    <w:t xml:space="preserve">Obtain</w:t>
                  </w:r>
                </w:p>
              </w:tc>
              <w:tc>
                <w:tcPr/>
                <w:p>
                  <w:pPr>
                    <w:pStyle w:val="Compact"/>
                    <w:jc w:val="center"/>
                    <w:jc w:val="center"/>
                  </w:pPr>
                  <w:r>
                    <w:t xml:space="preserve">Process</w:t>
                  </w:r>
                </w:p>
              </w:tc>
              <w:tc>
                <w:tcPr/>
                <w:p>
                  <w:pPr>
                    <w:pStyle w:val="Compact"/>
                    <w:jc w:val="center"/>
                    <w:jc w:val="center"/>
                  </w:pPr>
                  <w:r>
                    <w:t xml:space="preserve">Preserve</w:t>
                  </w:r>
                </w:p>
              </w:tc>
              <w:tc>
                <w:tcPr/>
                <w:p>
                  <w:pPr>
                    <w:pStyle w:val="Compact"/>
                    <w:jc w:val="center"/>
                    <w:jc w:val="center"/>
                  </w:pPr>
                  <w:r>
                    <w:t xml:space="preserve">Access</w:t>
                  </w:r>
                </w:p>
              </w:tc>
              <w:tc>
                <w:tcPr/>
                <w:p>
                  <w:pPr>
                    <w:pStyle w:val="Compact"/>
                    <w:jc w:val="center"/>
                    <w:jc w:val="center"/>
                  </w:pPr>
                  <w:r>
                    <w:t xml:space="preserve">Disposition</w:t>
                  </w:r>
                </w:p>
              </w:tc>
              <w:tc>
                <w:tcPr/>
                <w:p>
                  <w:pPr>
                    <w:pStyle w:val="Compact"/>
                    <w:jc w:val="left"/>
                    <w:jc w:val="center"/>
                  </w:pPr>
                  <w:r>
                    <w:t xml:space="preserve">Cross-cutting</w:t>
                  </w:r>
                </w:p>
              </w:tc>
            </w:tr>
            <w:tr>
              <w:tc>
                <w:tcPr/>
                <w:p>
                  <w:pPr>
                    <w:pStyle w:val="Compact"/>
                    <w:jc w:val="left"/>
                    <w:jc w:val="center"/>
                  </w:pPr>
                  <w:r>
                    <w:rPr>
                      <w:b/>
                      <w:bCs/>
                    </w:rPr>
                    <w:t xml:space="preserve">1. Data Governance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r>
              <w:tc>
                <w:tcPr/>
                <w:p>
                  <w:pPr>
                    <w:pStyle w:val="Compact"/>
                    <w:jc w:val="left"/>
                    <w:jc w:val="center"/>
                  </w:pPr>
                  <w:r>
                    <w:rPr>
                      <w:b/>
                      <w:bCs/>
                    </w:rPr>
                    <w:t xml:space="preserve">2. Reuse Infrastructure</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3. Persistent Identifiers</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Track</w:t>
                  </w:r>
                </w:p>
              </w:tc>
            </w:tr>
            <w:tr>
              <w:tc>
                <w:tcPr/>
                <w:p>
                  <w:pPr>
                    <w:pStyle w:val="Compact"/>
                    <w:jc w:val="left"/>
                    <w:jc w:val="center"/>
                  </w:pPr>
                  <w:r>
                    <w:rPr>
                      <w:b/>
                      <w:bCs/>
                    </w:rPr>
                    <w:t xml:space="preserve">4. Shared Data Models</w:t>
                  </w:r>
                </w:p>
              </w:tc>
              <w:tc>
                <w:tcPr/>
                <w:p>
                  <w:pPr>
                    <w:pStyle w:val="Compact"/>
                    <w:jc w:val="center"/>
                    <w:jc w:val="center"/>
                  </w:pPr>
                  <w:r>
                    <w:t xml:space="preserve">●</w:t>
                  </w: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pPr>
                </w:p>
              </w:tc>
              <w:tc>
                <w:tcPr/>
                <w:p>
                  <w:pPr>
                    <w:pStyle w:val="Compact"/>
                    <w:jc w:val="left"/>
                    <w:jc w:val="center"/>
                  </w:pPr>
                  <w:r>
                    <w:t xml:space="preserve">Quality</w:t>
                  </w:r>
                </w:p>
              </w:tc>
            </w:tr>
            <w:tr>
              <w:tc>
                <w:tcPr/>
                <w:p>
                  <w:pPr>
                    <w:pStyle w:val="Compact"/>
                    <w:jc w:val="left"/>
                    <w:jc w:val="center"/>
                  </w:pPr>
                  <w:r>
                    <w:rPr>
                      <w:b/>
                      <w:bCs/>
                    </w:rPr>
                    <w:t xml:space="preserve">5. Accessible Storage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Security, Quality</w:t>
                  </w:r>
                </w:p>
              </w:tc>
            </w:tr>
            <w:tr>
              <w:tc>
                <w:tcPr/>
                <w:p>
                  <w:pPr>
                    <w:pStyle w:val="Compact"/>
                    <w:jc w:val="left"/>
                    <w:jc w:val="center"/>
                  </w:pPr>
                  <w:r>
                    <w:rPr>
                      <w:b/>
                      <w:bCs/>
                    </w:rPr>
                    <w:t xml:space="preserve">6. Incentivize Sharing</w:t>
                  </w:r>
                </w:p>
              </w:tc>
              <w:tc>
                <w:tcPr/>
                <w:p>
                  <w:pPr>
                    <w:pStyle w:val="Compact"/>
                    <w:jc w:val="center"/>
                    <w:jc w:val="center"/>
                  </w:pPr>
                  <w:r>
                    <w:t xml:space="preserve">●</w:t>
                  </w:r>
                </w:p>
              </w:tc>
              <w:tc>
                <w:tcPr/>
                <w:p>
                  <w:pPr>
                    <w:pStyle w:val="Compact"/>
                  </w:pPr>
                </w:p>
              </w:tc>
              <w:tc>
                <w:tcPr/>
                <w:p>
                  <w:pPr>
                    <w:pStyle w:val="Compact"/>
                  </w:pPr>
                </w:p>
              </w:tc>
              <w:tc>
                <w:tcPr/>
                <w:p>
                  <w:pPr>
                    <w:pStyle w:val="Compact"/>
                    <w:jc w:val="center"/>
                    <w:jc w:val="center"/>
                  </w:pPr>
                  <w:r>
                    <w:t xml:space="preserve">●</w:t>
                  </w:r>
                </w:p>
              </w:tc>
              <w:tc>
                <w:tcPr/>
                <w:p>
                  <w:pPr>
                    <w:pStyle w:val="Compact"/>
                    <w:jc w:val="center"/>
                    <w:jc w:val="center"/>
                  </w:pPr>
                  <w:r>
                    <w:t xml:space="preserve">●</w:t>
                  </w:r>
                </w:p>
              </w:tc>
              <w:tc>
                <w:tcPr/>
                <w:p>
                  <w:pPr>
                    <w:pStyle w:val="Compact"/>
                  </w:pPr>
                </w:p>
              </w:tc>
              <w:tc>
                <w:tcPr/>
                <w:p>
                  <w:pPr>
                    <w:pStyle w:val="Compact"/>
                    <w:jc w:val="left"/>
                    <w:jc w:val="center"/>
                  </w:pPr>
                  <w:r>
                    <w:t xml:space="preserve">Track and Monitor</w:t>
                  </w:r>
                </w:p>
              </w:tc>
            </w:tr>
            <w:tr>
              <w:tc>
                <w:tcPr/>
                <w:p>
                  <w:pPr>
                    <w:pStyle w:val="Compact"/>
                    <w:jc w:val="left"/>
                    <w:jc w:val="center"/>
                  </w:pPr>
                  <w:r>
                    <w:rPr>
                      <w:b/>
                      <w:bCs/>
                    </w:rPr>
                    <w:t xml:space="preserve">7. Community Building</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left"/>
                    <w:jc w:val="center"/>
                  </w:pPr>
                  <w:r>
                    <w:t xml:space="preserve">Document, Quality</w:t>
                  </w:r>
                </w:p>
              </w:tc>
            </w:tr>
          </w:tbl>
          <w:bookmarkEnd w:id="34"/>
          <w:p/>
        </w:tc>
      </w:tr>
    </w:tbl>
    <w:bookmarkEnd w:id="35"/>
    <w:bookmarkEnd w:id="36"/>
    <w:bookmarkStart w:id="89"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and Dorner 2012)</w:t>
      </w:r>
      <w:r>
        <w:t xml:space="preserve">. However, as noted by reports to the Cohen Commission investigating the decline of Fraser River sockeye salmon</w:t>
      </w:r>
      <w:r>
        <w:t xml:space="preserve"> </w:t>
      </w:r>
      <w:r>
        <w:t xml:space="preserve">(Marmorek et al. 2011)</w:t>
      </w:r>
      <w:r>
        <w:t xml:space="preserve">, these data are often incomplete, inconsistently collected, and fragmented across organizations and jurisdictions. Integrating across such diverse sources can be done but requires effort that is often not accounted for in smaller-scale studies or perpetually underestimated in long-term ongoing data projects. This fragmentation hinders a deeper understanding of the drivers of change across salmon life stages and regions, and limits the effectiveness of management decisions, particularly concerning in the face of anthropic climate change and biodiversity loss.</w:t>
      </w:r>
    </w:p>
    <w:p>
      <w:pPr>
        <w:pStyle w:val="BodyText"/>
      </w:pPr>
      <w:r>
        <w:t xml:space="preserve">We argue that many persistent bottlenecks in salmon analysis and management are fundamentally data problems, and that coordinated data stewardship offers one of the most impactful, near-term opportunities for improvement. By adopting shared best practices in data governance, metadata standardization, persistent identification, infrastructure reuse, and community co-development we can radically improve the transparency, reusability, and interoperability of salmon data. A coordinated, future-oriented data stewardship strategy can leverage the full potential of data in science and management. The case study presented in this paper—drawn from one of the Pacific Region’s most influential salmon survival syntheses</w:t>
      </w:r>
      <w:r>
        <w:t xml:space="preserve"> </w:t>
      </w:r>
      <w:r>
        <w:t xml:space="preserve">(Peterman and Dorner 2012)</w:t>
      </w:r>
      <w:r>
        <w:t xml:space="preserve">—illustrates how technical and social data management gaps directly obstructed efforts to answer pressing questions. If some of the best practices we propose had been adopted by the data producers substantial time and resources could have been saved. The case study offers a clear and cautionary tale, as well as a hopeful roadmap. Because data practices underpin nearly every analysis and decision, strengthening data stewardship is one of the most effective ways salmon programs can improve outcomes within their control.</w:t>
      </w:r>
    </w:p>
    <w:p>
      <w:pPr>
        <w:pStyle w:val="BodyText"/>
      </w:pPr>
      <w:r>
        <w:t xml:space="preserve">The emergence of the data stewardship role</w:t>
      </w:r>
      <w:r>
        <w:t xml:space="preserve"> </w:t>
      </w:r>
      <w:r>
        <w:t xml:space="preserve">(Plotkin 2014)</w:t>
      </w:r>
      <w:r>
        <w:t xml:space="preserve"> </w:t>
      </w:r>
      <w:r>
        <w:t xml:space="preserve">represents one of the most critical organizational shifts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organizational commitments organizations should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organizational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laboratories, and community groups—can easily access and contribute to well-documented, versioned, and machine-readable datasets. In this future, field biologists, Indigenous guardians, modellers, and policymakers interact with a living knowledge system—one that is flexible, easy to implement, and rooted in principles of FAIRness and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must not only train new data stewards but also support and upskill biologists to take on stewardship responsibilities in collaborative, interdisciplinary settings. This is essential to address the data technical debt 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p>
      <w:pPr>
        <w:pStyle w:val="BodyText"/>
      </w:pPr>
      <w:r>
        <w:t xml:space="preserve">To do items:</w:t>
      </w:r>
    </w:p>
    <w:p>
      <w:pPr>
        <w:pStyle w:val="Compact"/>
        <w:numPr>
          <w:ilvl w:val="0"/>
          <w:numId w:val="1005"/>
        </w:numPr>
      </w:pPr>
      <w:r>
        <w:t xml:space="preserve">Discuss differences between data management plans, data governance charters, data sharing agreements</w:t>
      </w:r>
    </w:p>
    <w:p>
      <w:pPr>
        <w:pStyle w:val="Compact"/>
        <w:numPr>
          <w:ilvl w:val="0"/>
          <w:numId w:val="1005"/>
        </w:numPr>
      </w:pPr>
      <w:r>
        <w:t xml:space="preserve">Incorporate ref to Streamnet Data Exchange Standards somehow</w:t>
      </w:r>
    </w:p>
    <w:p>
      <w:pPr>
        <w:pStyle w:val="Compact"/>
        <w:numPr>
          <w:ilvl w:val="0"/>
          <w:numId w:val="1005"/>
        </w:numPr>
      </w:pPr>
      <w:r>
        <w:t xml:space="preserve">Add in figures</w:t>
      </w:r>
    </w:p>
    <w:p>
      <w:pPr>
        <w:pStyle w:val="Compact"/>
        <w:numPr>
          <w:ilvl w:val="0"/>
          <w:numId w:val="1005"/>
        </w:numPr>
      </w:pPr>
      <w:r>
        <w:t xml:space="preserve">fill out appendix 1 more thoroughly</w:t>
      </w:r>
    </w:p>
    <w:p>
      <w:pPr>
        <w:pStyle w:val="Compact"/>
        <w:numPr>
          <w:ilvl w:val="0"/>
          <w:numId w:val="1005"/>
        </w:numPr>
      </w:pPr>
      <w:r>
        <w:t xml:space="preserve">Refine Reorg the content in appendix 2 (traning roadmap) and decide if it Makes sense to put some of that content into a 3rd column in table 1</w:t>
      </w:r>
    </w:p>
    <w:p>
      <w:pPr>
        <w:pStyle w:val="Compact"/>
        <w:numPr>
          <w:ilvl w:val="0"/>
          <w:numId w:val="1005"/>
        </w:numPr>
      </w:pPr>
      <w:r>
        <w:t xml:space="preserve">Consider removing para 2 (Data Science adjancency) in Data Stewardship Defn</w:t>
      </w:r>
    </w:p>
    <w:p>
      <w:pPr>
        <w:pStyle w:val="Compact"/>
        <w:numPr>
          <w:ilvl w:val="0"/>
          <w:numId w:val="1005"/>
        </w:numPr>
      </w:pPr>
      <w:r>
        <w:t xml:space="preserve">Consider re-working table to replace practical applications column with</w:t>
      </w:r>
      <w:r>
        <w:t xml:space="preserve"> </w:t>
      </w:r>
      <w:r>
        <w:t xml:space="preserve">‘next step’</w:t>
      </w:r>
    </w:p>
    <w:p>
      <w:pPr>
        <w:pStyle w:val="Compact"/>
        <w:numPr>
          <w:ilvl w:val="0"/>
          <w:numId w:val="1005"/>
        </w:numPr>
      </w:pPr>
      <w:r>
        <w:t xml:space="preserve">Incorporate edits to Appendices from PSF folks</w:t>
      </w:r>
    </w:p>
    <w:p>
      <w:pPr>
        <w:pStyle w:val="Compact"/>
        <w:numPr>
          <w:ilvl w:val="0"/>
          <w:numId w:val="1005"/>
        </w:numPr>
      </w:pPr>
      <w:r>
        <w:t xml:space="preserve">Incorporate edits from Gottfried Pestal</w:t>
      </w:r>
    </w:p>
    <w:bookmarkStart w:id="37" w:name="competing-interests"/>
    <w:p>
      <w:pPr>
        <w:pStyle w:val="Heading3"/>
      </w:pPr>
      <w:r>
        <w:t xml:space="preserve">Competing interests</w:t>
      </w:r>
    </w:p>
    <w:bookmarkEnd w:id="37"/>
    <w:bookmarkStart w:id="38" w:name="acknowledgements"/>
    <w:p>
      <w:pPr>
        <w:pStyle w:val="Heading3"/>
      </w:pPr>
      <w:r>
        <w:t xml:space="preserve">Acknowledgements</w:t>
      </w:r>
    </w:p>
    <w:bookmarkEnd w:id="38"/>
    <w:bookmarkStart w:id="88" w:name="references"/>
    <w:p>
      <w:pPr>
        <w:pStyle w:val="Heading3"/>
      </w:pPr>
      <w:r>
        <w:t xml:space="preserve">References</w:t>
      </w:r>
    </w:p>
    <w:bookmarkStart w:id="87" w:name="refs"/>
    <w:bookmarkStart w:id="40" w:name="ref-bull2022"/>
    <w:p>
      <w:pPr>
        <w:pStyle w:val="Bibliography"/>
      </w:pPr>
      <w:r>
        <w:t xml:space="preserve">Bull, C D, S D Gregory, E Rivot, T F Sheehan, D Ensing, G Woodward, and W Crozier. 2022.</w:t>
      </w:r>
      <w:r>
        <w:t xml:space="preserve"> </w:t>
      </w:r>
      <w:r>
        <w:t xml:space="preserve">“The Likely Suspects Framework: The Need for a Life Cycle Approach for Managing Atlantic Salmon (</w:t>
      </w:r>
      <w:r>
        <w:rPr>
          <w:i/>
          <w:iCs/>
        </w:rPr>
        <w:t xml:space="preserve">Salmo Salar</w:t>
      </w:r>
      <w:r>
        <w:t xml:space="preserve">) Stocks Across Multiple Scales.”</w:t>
      </w:r>
      <w:r>
        <w:t xml:space="preserve"> </w:t>
      </w:r>
      <w:r>
        <w:t xml:space="preserve">Edited by Wesley Flannery.</w:t>
      </w:r>
      <w:r>
        <w:t xml:space="preserve"> </w:t>
      </w:r>
      <w:r>
        <w:rPr>
          <w:i/>
          <w:iCs/>
        </w:rPr>
        <w:t xml:space="preserve">ICES Journal of Marine Science</w:t>
      </w:r>
      <w:r>
        <w:t xml:space="preserve"> </w:t>
      </w:r>
      <w:r>
        <w:t xml:space="preserve">79 (5): 1445–56.</w:t>
      </w:r>
      <w:r>
        <w:t xml:space="preserve"> </w:t>
      </w:r>
      <w:hyperlink r:id="rId39">
        <w:r>
          <w:rPr>
            <w:rStyle w:val="Hyperlink"/>
          </w:rPr>
          <w:t xml:space="preserve">https://doi.org/10.1093/icesjms/fsac099</w:t>
        </w:r>
      </w:hyperlink>
      <w:r>
        <w:t xml:space="preserve">.</w:t>
      </w:r>
    </w:p>
    <w:bookmarkEnd w:id="40"/>
    <w:bookmarkStart w:id="42" w:name="ref-carroll2020"/>
    <w:p>
      <w:pPr>
        <w:pStyle w:val="Bibliography"/>
      </w:pPr>
      <w:r>
        <w:t xml:space="preserve">Carroll, Stephanie Russo, Ibrahim Garba, Oscar L. Figueroa-Rodríguez, Jarita Holbrook, Raymond Lovett, Simeon Materechera, Mark Parsons, et al. 2020.</w:t>
      </w:r>
      <w:r>
        <w:t xml:space="preserve"> </w:t>
      </w:r>
      <w:r>
        <w:t xml:space="preserve">“The CARE Principles for Indigenous Data Governance.”</w:t>
      </w:r>
      <w:r>
        <w:t xml:space="preserve"> </w:t>
      </w:r>
      <w:r>
        <w:rPr>
          <w:i/>
          <w:iCs/>
        </w:rPr>
        <w:t xml:space="preserve">Data Science Journal</w:t>
      </w:r>
      <w:r>
        <w:t xml:space="preserve"> </w:t>
      </w:r>
      <w:r>
        <w:t xml:space="preserve">19.</w:t>
      </w:r>
      <w:r>
        <w:t xml:space="preserve"> </w:t>
      </w:r>
      <w:hyperlink r:id="rId41">
        <w:r>
          <w:rPr>
            <w:rStyle w:val="Hyperlink"/>
          </w:rPr>
          <w:t xml:space="preserve">https://doi.org/10.5334/dsj-2020-043</w:t>
        </w:r>
      </w:hyperlink>
      <w:r>
        <w:t xml:space="preserve">.</w:t>
      </w:r>
    </w:p>
    <w:bookmarkEnd w:id="42"/>
    <w:bookmarkStart w:id="44" w:name="ref-carroll2019"/>
    <w:p>
      <w:pPr>
        <w:pStyle w:val="Bibliography"/>
      </w:pPr>
      <w:r>
        <w:t xml:space="preserve">Carroll, Stephanie Russo, Desi Rodriguez-Lonebear, and Andrew Martinez. 2019.</w:t>
      </w:r>
      <w:r>
        <w:t xml:space="preserve"> </w:t>
      </w:r>
      <w:r>
        <w:t xml:space="preserve">“Indigenous Data Governance: Strategies from United States Native Nations.”</w:t>
      </w:r>
      <w:r>
        <w:t xml:space="preserve"> </w:t>
      </w:r>
      <w:r>
        <w:rPr>
          <w:i/>
          <w:iCs/>
        </w:rPr>
        <w:t xml:space="preserve">Data Science Journal</w:t>
      </w:r>
      <w:r>
        <w:t xml:space="preserve"> </w:t>
      </w:r>
      <w:r>
        <w:t xml:space="preserve">18 (1): 31.</w:t>
      </w:r>
      <w:r>
        <w:t xml:space="preserve"> </w:t>
      </w:r>
      <w:hyperlink r:id="rId43">
        <w:r>
          <w:rPr>
            <w:rStyle w:val="Hyperlink"/>
          </w:rPr>
          <w:t xml:space="preserve">https://doi.org/10.5334/dsj-2019-031</w:t>
        </w:r>
      </w:hyperlink>
      <w:r>
        <w:t xml:space="preserve">.</w:t>
      </w:r>
    </w:p>
    <w:bookmarkEnd w:id="44"/>
    <w:bookmarkStart w:id="46" w:name="ref-diack2024"/>
    <w:p>
      <w:pPr>
        <w:pStyle w:val="Bibliography"/>
      </w:pPr>
      <w:r>
        <w:t xml:space="preserve">Diack, Graeme, Tom Bird, Scott Akenhead, Jennifer Bayer, Deirdre Brophy, Colin Bull, Elvira de Eyto, et al. 2024.</w:t>
      </w:r>
      <w:r>
        <w:t xml:space="preserve"> </w:t>
      </w:r>
      <w:r>
        <w:t xml:space="preserve">“Salmon Data Mobilization.”</w:t>
      </w:r>
      <w:r>
        <w:t xml:space="preserve"> </w:t>
      </w:r>
      <w:r>
        <w:rPr>
          <w:i/>
          <w:iCs/>
        </w:rPr>
        <w:t xml:space="preserve">North Pacific Anadromous Fish Commission Bulletin</w:t>
      </w:r>
      <w:r>
        <w:t xml:space="preserve">, December.</w:t>
      </w:r>
      <w:r>
        <w:t xml:space="preserve"> </w:t>
      </w:r>
      <w:hyperlink r:id="rId45">
        <w:r>
          <w:rPr>
            <w:rStyle w:val="Hyperlink"/>
          </w:rPr>
          <w:t xml:space="preserve">https://doi.org/10.23849/npafcb7/x3rlpo23a</w:t>
        </w:r>
      </w:hyperlink>
      <w:r>
        <w:t xml:space="preserve">.</w:t>
      </w:r>
    </w:p>
    <w:bookmarkEnd w:id="46"/>
    <w:bookmarkStart w:id="48" w:name="ref-eartheconomics2021"/>
    <w:p>
      <w:pPr>
        <w:pStyle w:val="Bibliography"/>
      </w:pPr>
      <w:r>
        <w:t xml:space="preserve">Earth Economics. 2021.</w:t>
      </w:r>
      <w:r>
        <w:t xml:space="preserve"> </w:t>
      </w:r>
      <w:r>
        <w:t xml:space="preserve">“The Sociocultural Significance of Pacific Salmon to Tribes and First Nations.”</w:t>
      </w:r>
      <w:r>
        <w:t xml:space="preserve"> </w:t>
      </w:r>
      <w:r>
        <w:t xml:space="preserve">Tacoma, Washington.</w:t>
      </w:r>
      <w:r>
        <w:t xml:space="preserve"> </w:t>
      </w:r>
      <w:hyperlink r:id="rId47">
        <w:r>
          <w:rPr>
            <w:rStyle w:val="Hyperlink"/>
          </w:rPr>
          <w:t xml:space="preserve">https://www.psc.org/wp-content/uploads/wpfd/preview_files/The-Sociocultural-Significance-of-Salmon-to-Tribes-and-First-Nations(5da9942da9fb4fe0d77eb32bd6165e43).pdf</w:t>
        </w:r>
      </w:hyperlink>
      <w:r>
        <w:t xml:space="preserve">.</w:t>
      </w:r>
    </w:p>
    <w:bookmarkEnd w:id="48"/>
    <w:bookmarkStart w:id="50" w:name="ref-noauthor_fraser_2025"/>
    <w:p>
      <w:pPr>
        <w:pStyle w:val="Bibliography"/>
      </w:pPr>
      <w:r>
        <w:t xml:space="preserve">“Fraser</w:t>
      </w:r>
      <w:r>
        <w:t xml:space="preserve"> </w:t>
      </w:r>
      <w:r>
        <w:t xml:space="preserve">River</w:t>
      </w:r>
      <w:r>
        <w:t xml:space="preserve"> </w:t>
      </w:r>
      <w:r>
        <w:t xml:space="preserve">Panel</w:t>
      </w:r>
      <w:r>
        <w:t xml:space="preserve"> </w:t>
      </w:r>
      <w:r>
        <w:t xml:space="preserve">Data</w:t>
      </w:r>
      <w:r>
        <w:t xml:space="preserve"> </w:t>
      </w:r>
      <w:r>
        <w:t xml:space="preserve">Application</w:t>
      </w:r>
      <w:r>
        <w:t xml:space="preserve">.”</w:t>
      </w:r>
      <w:r>
        <w:t xml:space="preserve"> </w:t>
      </w:r>
      <w:r>
        <w:t xml:space="preserve">2025. Pacific Salmon Commission.</w:t>
      </w:r>
      <w:r>
        <w:t xml:space="preserve"> </w:t>
      </w:r>
      <w:hyperlink r:id="rId49">
        <w:r>
          <w:rPr>
            <w:rStyle w:val="Hyperlink"/>
          </w:rPr>
          <w:t xml:space="preserve">https://psc1.shinyapps.io/PSC_In_Season_Fraser/</w:t>
        </w:r>
      </w:hyperlink>
      <w:r>
        <w:t xml:space="preserve">.</w:t>
      </w:r>
    </w:p>
    <w:bookmarkEnd w:id="50"/>
    <w:bookmarkStart w:id="52" w:name="ref-groot1991"/>
    <w:p>
      <w:pPr>
        <w:pStyle w:val="Bibliography"/>
      </w:pPr>
      <w:r>
        <w:t xml:space="preserve">Groot, Cornelis, and L. Margolis. 1991.</w:t>
      </w:r>
      <w:r>
        <w:t xml:space="preserve"> </w:t>
      </w:r>
      <w:r>
        <w:rPr>
          <w:i/>
          <w:iCs/>
        </w:rPr>
        <w:t xml:space="preserve">Pacific Salmon Life Histories</w:t>
      </w:r>
      <w:r>
        <w:t xml:space="preserve">. UBC Press.</w:t>
      </w:r>
      <w:r>
        <w:t xml:space="preserve"> </w:t>
      </w:r>
      <w:hyperlink r:id="rId51">
        <w:r>
          <w:rPr>
            <w:rStyle w:val="Hyperlink"/>
          </w:rPr>
          <w:t xml:space="preserve">https://books.google.ca/books?id=I_S0xCME0CYC</w:t>
        </w:r>
      </w:hyperlink>
      <w:r>
        <w:t xml:space="preserve">.</w:t>
      </w:r>
    </w:p>
    <w:bookmarkEnd w:id="52"/>
    <w:bookmarkStart w:id="54" w:name="ref-inman2021"/>
    <w:p>
      <w:pPr>
        <w:pStyle w:val="Bibliography"/>
      </w:pPr>
      <w:r>
        <w:t xml:space="preserve">Inman, Sarah, Janessa Esquible, Michael Jones, William Bechtol, and Brendan Connors. 2021.</w:t>
      </w:r>
      <w:r>
        <w:t xml:space="preserve"> </w:t>
      </w:r>
      <w:r>
        <w:t xml:space="preserve">“Opportunities and Impediments for Use of Local Data in the Management of Salmon Fisheries.”</w:t>
      </w:r>
      <w:r>
        <w:t xml:space="preserve"> </w:t>
      </w:r>
      <w:r>
        <w:rPr>
          <w:i/>
          <w:iCs/>
        </w:rPr>
        <w:t xml:space="preserve">Ecology and Society</w:t>
      </w:r>
      <w:r>
        <w:t xml:space="preserve"> </w:t>
      </w:r>
      <w:r>
        <w:t xml:space="preserve">26 (2).</w:t>
      </w:r>
      <w:r>
        <w:t xml:space="preserve"> </w:t>
      </w:r>
      <w:hyperlink r:id="rId53">
        <w:r>
          <w:rPr>
            <w:rStyle w:val="Hyperlink"/>
          </w:rPr>
          <w:t xml:space="preserve">https://doi.org/10.5751/ES-12117-260226</w:t>
        </w:r>
      </w:hyperlink>
      <w:r>
        <w:t xml:space="preserve">.</w:t>
      </w:r>
    </w:p>
    <w:bookmarkEnd w:id="54"/>
    <w:bookmarkStart w:id="56" w:name="ref-jennings2023a"/>
    <w:p>
      <w:pPr>
        <w:pStyle w:val="Bibliography"/>
      </w:pPr>
      <w:r>
        <w:t xml:space="preserve">Jennings, Lydia, Talia Anderson, Andrew Martinez, Rogena Sterling, Dominique David Chavez, Ibrahim Garba, Maui Hudson, Nanibaa’ A. Garrison, and Stephanie Russo Carroll. 2023.</w:t>
      </w:r>
      <w:r>
        <w:t xml:space="preserve"> </w:t>
      </w:r>
      <w:r>
        <w:t xml:space="preserve">“Applying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 </w:t>
      </w:r>
      <w:r>
        <w:t xml:space="preserve">7 (10): 1547–51.</w:t>
      </w:r>
      <w:r>
        <w:t xml:space="preserve"> </w:t>
      </w:r>
      <w:hyperlink r:id="rId55">
        <w:r>
          <w:rPr>
            <w:rStyle w:val="Hyperlink"/>
          </w:rPr>
          <w:t xml:space="preserve">https://doi.org/10.1038/s41559-023-02161-2</w:t>
        </w:r>
      </w:hyperlink>
      <w:r>
        <w:t xml:space="preserve">.</w:t>
      </w:r>
    </w:p>
    <w:bookmarkEnd w:id="56"/>
    <w:bookmarkStart w:id="58" w:name="ref-johnson2024"/>
    <w:p>
      <w:pPr>
        <w:pStyle w:val="Bibliography"/>
      </w:pPr>
      <w:r>
        <w:t xml:space="preserve">Johnson, Brett, and Tim van der Stap. 2024.</w:t>
      </w:r>
      <w:r>
        <w:t xml:space="preserve"> </w:t>
      </w:r>
      <w:r>
        <w:t xml:space="preserve">“Data Mobilization Through the International Year of the Salmon Ocean Observing System.”</w:t>
      </w:r>
      <w:r>
        <w:t xml:space="preserve"> </w:t>
      </w:r>
      <w:r>
        <w:rPr>
          <w:i/>
          <w:iCs/>
        </w:rPr>
        <w:t xml:space="preserve">North Pacific Anadromous Fish Commission Bulletin</w:t>
      </w:r>
      <w:r>
        <w:t xml:space="preserve">, December.</w:t>
      </w:r>
      <w:r>
        <w:t xml:space="preserve"> </w:t>
      </w:r>
      <w:hyperlink r:id="rId57">
        <w:r>
          <w:rPr>
            <w:rStyle w:val="Hyperlink"/>
          </w:rPr>
          <w:t xml:space="preserve">https://doi.org/10.23849/npafcb7/6a4ddpde4</w:t>
        </w:r>
      </w:hyperlink>
      <w:r>
        <w:t xml:space="preserve">.</w:t>
      </w:r>
    </w:p>
    <w:bookmarkEnd w:id="58"/>
    <w:bookmarkStart w:id="60" w:name="ref-lindenmayer2012"/>
    <w:p>
      <w:pPr>
        <w:pStyle w:val="Bibliography"/>
      </w:pPr>
      <w:r>
        <w:t xml:space="preserve">LINDENMAYER, DAVID B., GENE E. LIKENS, ALAN ANDERSEN, DAVID BOWMAN, C. MICHAEL BULL, EMMA BURNS, CHRIS R. DICKMAN, et al. 2012.</w:t>
      </w:r>
      <w:r>
        <w:t xml:space="preserve"> </w:t>
      </w:r>
      <w:r>
        <w:t xml:space="preserve">“Value of Long</w:t>
      </w:r>
      <w:r>
        <w:t xml:space="preserve">-</w:t>
      </w:r>
      <w:r>
        <w:t xml:space="preserve">Term Ecological Studies.”</w:t>
      </w:r>
      <w:r>
        <w:t xml:space="preserve"> </w:t>
      </w:r>
      <w:r>
        <w:rPr>
          <w:i/>
          <w:iCs/>
        </w:rPr>
        <w:t xml:space="preserve">Austral Ecology</w:t>
      </w:r>
      <w:r>
        <w:t xml:space="preserve"> </w:t>
      </w:r>
      <w:r>
        <w:t xml:space="preserve">37 (7): 745–57.</w:t>
      </w:r>
      <w:r>
        <w:t xml:space="preserve"> </w:t>
      </w:r>
      <w:hyperlink r:id="rId59">
        <w:r>
          <w:rPr>
            <w:rStyle w:val="Hyperlink"/>
          </w:rPr>
          <w:t xml:space="preserve">https://doi.org/10.1111/j.1442-9993.2011.02351.x</w:t>
        </w:r>
      </w:hyperlink>
      <w:r>
        <w:t xml:space="preserve">.</w:t>
      </w:r>
    </w:p>
    <w:bookmarkEnd w:id="60"/>
    <w:bookmarkStart w:id="62" w:name="ref-LocalContexts2025"/>
    <w:p>
      <w:pPr>
        <w:pStyle w:val="Bibliography"/>
      </w:pPr>
      <w:r>
        <w:t xml:space="preserve">Local Contexts. 2025.</w:t>
      </w:r>
      <w:r>
        <w:t xml:space="preserve"> </w:t>
      </w:r>
      <w:r>
        <w:t xml:space="preserve">“Local Contexts: Grounding Indigenous Rights in Data and Collections.”</w:t>
      </w:r>
      <w:r>
        <w:t xml:space="preserve"> </w:t>
      </w:r>
      <w:r>
        <w:t xml:space="preserve">Local Contexts</w:t>
      </w:r>
      <w:r>
        <w:t xml:space="preserve">. 2025.</w:t>
      </w:r>
      <w:r>
        <w:t xml:space="preserve"> </w:t>
      </w:r>
      <w:hyperlink r:id="rId61">
        <w:r>
          <w:rPr>
            <w:rStyle w:val="Hyperlink"/>
          </w:rPr>
          <w:t xml:space="preserve">https://localcontexts.org/</w:t>
        </w:r>
      </w:hyperlink>
      <w:r>
        <w:t xml:space="preserve">.</w:t>
      </w:r>
    </w:p>
    <w:bookmarkEnd w:id="62"/>
    <w:bookmarkStart w:id="64" w:name="ref-marmorek2011"/>
    <w:p>
      <w:pPr>
        <w:pStyle w:val="Bibliography"/>
      </w:pPr>
      <w:r>
        <w:t xml:space="preserve">Marmorek, David, Darcy Pickard, Alexander Hall, Katherine Bryan, Liz Martell, Clint Alexander, Katherine Wieckowski, Lorne Greig, and Carl Schwarz. 2011.</w:t>
      </w:r>
      <w:r>
        <w:t xml:space="preserve"> </w:t>
      </w:r>
      <w:r>
        <w:t xml:space="preserve">“Cohen Commision Technical Report 6-Fraser River Sockeye Salmon: Data Synthesis and Cumulative Impacts.”</w:t>
      </w:r>
      <w:r>
        <w:t xml:space="preserve"> </w:t>
      </w:r>
      <w:r>
        <w:t xml:space="preserve">Vancouver, B.C.</w:t>
      </w:r>
      <w:r>
        <w:t xml:space="preserve"> </w:t>
      </w:r>
      <w:hyperlink r:id="rId63">
        <w:r>
          <w:rPr>
            <w:rStyle w:val="Hyperlink"/>
          </w:rPr>
          <w:t xml:space="preserve">http://www.cohencommission.ca/</w:t>
        </w:r>
      </w:hyperlink>
      <w:r>
        <w:t xml:space="preserve">.</w:t>
      </w:r>
    </w:p>
    <w:bookmarkEnd w:id="64"/>
    <w:bookmarkStart w:id="66" w:name="ref-montenegro2019"/>
    <w:p>
      <w:pPr>
        <w:pStyle w:val="Bibliography"/>
      </w:pPr>
      <w:r>
        <w:t xml:space="preserve">Montenegro, María. 2019.</w:t>
      </w:r>
      <w:r>
        <w:t xml:space="preserve"> </w:t>
      </w:r>
      <w:r>
        <w:t xml:space="preserve">“Subverting the Universality of Metadata Standards.”</w:t>
      </w:r>
      <w:r>
        <w:t xml:space="preserve"> </w:t>
      </w:r>
      <w:r>
        <w:rPr>
          <w:i/>
          <w:iCs/>
        </w:rPr>
        <w:t xml:space="preserve">Journal of Documentation</w:t>
      </w:r>
      <w:r>
        <w:t xml:space="preserve"> </w:t>
      </w:r>
      <w:r>
        <w:t xml:space="preserve">75 (4): 731–49.</w:t>
      </w:r>
      <w:r>
        <w:t xml:space="preserve"> </w:t>
      </w:r>
      <w:hyperlink r:id="rId65">
        <w:r>
          <w:rPr>
            <w:rStyle w:val="Hyperlink"/>
          </w:rPr>
          <w:t xml:space="preserve">https://doi.org/10.1108/jd-08-2018-0124</w:t>
        </w:r>
      </w:hyperlink>
      <w:r>
        <w:t xml:space="preserve">.</w:t>
      </w:r>
    </w:p>
    <w:bookmarkEnd w:id="66"/>
    <w:bookmarkStart w:id="68"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67">
        <w:r>
          <w:rPr>
            <w:rStyle w:val="Hyperlink"/>
          </w:rPr>
          <w:t xml:space="preserve">https://doi.org/10.17226/12017</w:t>
        </w:r>
      </w:hyperlink>
      <w:r>
        <w:t xml:space="preserve">.</w:t>
      </w:r>
    </w:p>
    <w:bookmarkEnd w:id="68"/>
    <w:bookmarkStart w:id="70" w:name="ref-noaadatagovernancecommittee2024"/>
    <w:p>
      <w:pPr>
        <w:pStyle w:val="Bibliography"/>
      </w:pPr>
      <w:r>
        <w:t xml:space="preserve">NOAA Data Governance Committee. 2024.</w:t>
      </w:r>
      <w:r>
        <w:t xml:space="preserve"> </w:t>
      </w:r>
      <w:r>
        <w:t xml:space="preserve">“Management of NOAA Data and Information, Data Management Handbook,”</w:t>
      </w:r>
      <w:r>
        <w:t xml:space="preserve"> </w:t>
      </w:r>
      <w:r>
        <w:t xml:space="preserve">January.</w:t>
      </w:r>
      <w:r>
        <w:t xml:space="preserve"> </w:t>
      </w:r>
      <w:hyperlink r:id="rId69">
        <w:r>
          <w:rPr>
            <w:rStyle w:val="Hyperlink"/>
          </w:rPr>
          <w:t xml:space="preserve">https://www.noaa.gov/sites/default/files/2025-03/NAO_212-15B_-_Data_Management_Handbook.pdf</w:t>
        </w:r>
      </w:hyperlink>
      <w:r>
        <w:t xml:space="preserve">.</w:t>
      </w:r>
    </w:p>
    <w:bookmarkEnd w:id="70"/>
    <w:bookmarkStart w:id="72" w:name="ref-peng2018"/>
    <w:p>
      <w:pPr>
        <w:pStyle w:val="Bibliography"/>
      </w:pPr>
      <w:r>
        <w:t xml:space="preserve">Peng, Ge, Jeffrey L. Privette, Curt Tilmes, Sky Bristol, Tom Maycock, John J. Bates, Scott Hausman, Otis Brown, and Edward J. Kearns. 2018.</w:t>
      </w:r>
      <w:r>
        <w:t xml:space="preserve"> </w:t>
      </w:r>
      <w:r>
        <w:t xml:space="preserve">“A Conceptual Enterprise Framework for Managing Scientific Data Stewardship.”</w:t>
      </w:r>
      <w:r>
        <w:t xml:space="preserve"> </w:t>
      </w:r>
      <w:r>
        <w:rPr>
          <w:i/>
          <w:iCs/>
        </w:rPr>
        <w:t xml:space="preserve">Data Science Journal</w:t>
      </w:r>
      <w:r>
        <w:t xml:space="preserve"> </w:t>
      </w:r>
      <w:r>
        <w:t xml:space="preserve">17.</w:t>
      </w:r>
      <w:r>
        <w:t xml:space="preserve"> </w:t>
      </w:r>
      <w:hyperlink r:id="rId71">
        <w:r>
          <w:rPr>
            <w:rStyle w:val="Hyperlink"/>
          </w:rPr>
          <w:t xml:space="preserve">https://doi.org/10.5334/dsj-2018-015</w:t>
        </w:r>
      </w:hyperlink>
      <w:r>
        <w:t xml:space="preserve">.</w:t>
      </w:r>
    </w:p>
    <w:bookmarkEnd w:id="72"/>
    <w:bookmarkStart w:id="74" w:name="ref-peterman2012"/>
    <w:p>
      <w:pPr>
        <w:pStyle w:val="Bibliography"/>
      </w:pPr>
      <w:r>
        <w:t xml:space="preserve">Peterman, Randall M., and Brigitte Dorner. 2012.</w:t>
      </w:r>
      <w:r>
        <w:t xml:space="preserve"> </w:t>
      </w:r>
      <w:r>
        <w:t xml:space="preserve">“A Widespread Decrease in Productivity of Sockeye Salmon (</w:t>
      </w:r>
      <w:r>
        <w:rPr>
          <w:i/>
          <w:iCs/>
        </w:rPr>
        <w:t xml:space="preserve">Oncorhynchus Nerka</w:t>
      </w:r>
      <w:r>
        <w:t xml:space="preserve">) Populations in Western North America.”</w:t>
      </w:r>
      <w:r>
        <w:t xml:space="preserve"> </w:t>
      </w:r>
      <w:r>
        <w:t xml:space="preserve">Edited by Jordan S. Rosenfeld.</w:t>
      </w:r>
      <w:r>
        <w:t xml:space="preserve"> </w:t>
      </w:r>
      <w:r>
        <w:rPr>
          <w:i/>
          <w:iCs/>
        </w:rPr>
        <w:t xml:space="preserve">Canadian Journal of Fisheries and Aquatic Sciences</w:t>
      </w:r>
      <w:r>
        <w:t xml:space="preserve"> </w:t>
      </w:r>
      <w:r>
        <w:t xml:space="preserve">69 (8): 1255–60.</w:t>
      </w:r>
      <w:r>
        <w:t xml:space="preserve"> </w:t>
      </w:r>
      <w:hyperlink r:id="rId73">
        <w:r>
          <w:rPr>
            <w:rStyle w:val="Hyperlink"/>
          </w:rPr>
          <w:t xml:space="preserve">https://doi.org/10.1139/f2012-063</w:t>
        </w:r>
      </w:hyperlink>
      <w:r>
        <w:t xml:space="preserve">.</w:t>
      </w:r>
    </w:p>
    <w:bookmarkEnd w:id="74"/>
    <w:bookmarkStart w:id="76" w:name="ref-plotkin2014"/>
    <w:p>
      <w:pPr>
        <w:pStyle w:val="Bibliography"/>
      </w:pPr>
      <w:r>
        <w:t xml:space="preserve">Plotkin, David. 2014.</w:t>
      </w:r>
      <w:r>
        <w:t xml:space="preserve"> </w:t>
      </w:r>
      <w:r>
        <w:rPr>
          <w:i/>
          <w:iCs/>
        </w:rPr>
        <w:t xml:space="preserve">Data Stewardship</w:t>
      </w:r>
      <w:r>
        <w:t xml:space="preserve">. Elsevier.</w:t>
      </w:r>
      <w:r>
        <w:t xml:space="preserve"> </w:t>
      </w:r>
      <w:hyperlink r:id="rId75">
        <w:r>
          <w:rPr>
            <w:rStyle w:val="Hyperlink"/>
          </w:rPr>
          <w:t xml:space="preserve">https://doi.org/10.1016/c2012-0-07057-3</w:t>
        </w:r>
      </w:hyperlink>
      <w:r>
        <w:t xml:space="preserve">.</w:t>
      </w:r>
    </w:p>
    <w:bookmarkEnd w:id="76"/>
    <w:bookmarkStart w:id="78" w:name="ref-roche2020"/>
    <w:p>
      <w:pPr>
        <w:pStyle w:val="Bibliography"/>
      </w:pPr>
      <w:r>
        <w:t xml:space="preserve">Roche, Dominique G., Monica Granados, Claire C. Austin, Scott Wilson, Gregory M. Mitchell, Paul A. Smith, Steven J. Cooke, and Joseph R. Bennett. 2020.</w:t>
      </w:r>
      <w:r>
        <w:t xml:space="preserve"> </w:t>
      </w:r>
      <w:r>
        <w:t xml:space="preserve">“Open Government Data and Environmental Science: A Federal Canadian Perspective.”</w:t>
      </w:r>
      <w:r>
        <w:t xml:space="preserve"> </w:t>
      </w:r>
      <w:r>
        <w:t xml:space="preserve">Edited by Tanzy Love.</w:t>
      </w:r>
      <w:r>
        <w:t xml:space="preserve"> </w:t>
      </w:r>
      <w:r>
        <w:rPr>
          <w:i/>
          <w:iCs/>
        </w:rPr>
        <w:t xml:space="preserve">FACETS</w:t>
      </w:r>
      <w:r>
        <w:t xml:space="preserve"> </w:t>
      </w:r>
      <w:r>
        <w:t xml:space="preserve">5 (1): 942–62.</w:t>
      </w:r>
      <w:r>
        <w:t xml:space="preserve"> </w:t>
      </w:r>
      <w:hyperlink r:id="rId77">
        <w:r>
          <w:rPr>
            <w:rStyle w:val="Hyperlink"/>
          </w:rPr>
          <w:t xml:space="preserve">https://doi.org/10.1139/facets-2020-0008</w:t>
        </w:r>
      </w:hyperlink>
      <w:r>
        <w:t xml:space="preserve">.</w:t>
      </w:r>
    </w:p>
    <w:bookmarkEnd w:id="78"/>
    <w:bookmarkStart w:id="80" w:name="ref-volk2014"/>
    <w:p>
      <w:pPr>
        <w:pStyle w:val="Bibliography"/>
      </w:pPr>
      <w:r>
        <w:t xml:space="preserve">Volk, Carol J., Yasmin Lucero, and Katie Barnas. 2014.</w:t>
      </w:r>
      <w:r>
        <w:t xml:space="preserve"> </w:t>
      </w:r>
      <w:r>
        <w:t xml:space="preserve">“Why Is Data Sharing in Collaborative Natural Resource Efforts so Hard and What Can We Do to Improve It?”</w:t>
      </w:r>
      <w:r>
        <w:t xml:space="preserve"> </w:t>
      </w:r>
      <w:r>
        <w:rPr>
          <w:i/>
          <w:iCs/>
        </w:rPr>
        <w:t xml:space="preserve">Environmental Management</w:t>
      </w:r>
      <w:r>
        <w:t xml:space="preserve"> </w:t>
      </w:r>
      <w:r>
        <w:t xml:space="preserve">53 (5): 883–93.</w:t>
      </w:r>
      <w:r>
        <w:t xml:space="preserve"> </w:t>
      </w:r>
      <w:hyperlink r:id="rId79">
        <w:r>
          <w:rPr>
            <w:rStyle w:val="Hyperlink"/>
          </w:rPr>
          <w:t xml:space="preserve">https://doi.org/10.1007/s00267-014-0258-2</w:t>
        </w:r>
      </w:hyperlink>
      <w:r>
        <w:t xml:space="preserve">.</w:t>
      </w:r>
    </w:p>
    <w:bookmarkEnd w:id="80"/>
    <w:bookmarkStart w:id="82" w:name="ref-ward_surveyjoin_2025"/>
    <w:p>
      <w:pPr>
        <w:pStyle w:val="Bibliography"/>
      </w:pPr>
      <w:r>
        <w:t xml:space="preserve">Ward, Eric J, Philina A English, Christopher N Rooper, Bridget E Ferriss, Curt E Whitmire, Chantel R Wetzel, Lewis Ak Barnett, et al. 2025.</w:t>
      </w:r>
      <w:r>
        <w:t xml:space="preserve"> </w:t>
      </w:r>
      <w:r>
        <w:t xml:space="preserve">“‘Surveyjoin‘:</w:t>
      </w:r>
      <w:r>
        <w:t xml:space="preserve"> </w:t>
      </w:r>
      <w:r>
        <w:t xml:space="preserve">A</w:t>
      </w:r>
      <w:r>
        <w:t xml:space="preserve"> </w:t>
      </w:r>
      <w:r>
        <w:t xml:space="preserve">Standardized</w:t>
      </w:r>
      <w:r>
        <w:t xml:space="preserve"> </w:t>
      </w:r>
      <w:r>
        <w:t xml:space="preserve">Database</w:t>
      </w:r>
      <w:r>
        <w:t xml:space="preserve"> </w:t>
      </w:r>
      <w:r>
        <w:t xml:space="preserve">of</w:t>
      </w:r>
      <w:r>
        <w:t xml:space="preserve"> </w:t>
      </w:r>
      <w:r>
        <w:t xml:space="preserve">Fisheries</w:t>
      </w:r>
      <w:r>
        <w:t xml:space="preserve"> </w:t>
      </w:r>
      <w:r>
        <w:t xml:space="preserve">Bottom</w:t>
      </w:r>
      <w:r>
        <w:t xml:space="preserve"> </w:t>
      </w:r>
      <w:r>
        <w:t xml:space="preserve">Trawl</w:t>
      </w:r>
      <w:r>
        <w:t xml:space="preserve"> </w:t>
      </w:r>
      <w:r>
        <w:t xml:space="preserve">Surveys</w:t>
      </w:r>
      <w:r>
        <w:t xml:space="preserve"> </w:t>
      </w:r>
      <w:r>
        <w:t xml:space="preserve">in the</w:t>
      </w:r>
      <w:r>
        <w:t xml:space="preserve"> </w:t>
      </w:r>
      <w:r>
        <w:t xml:space="preserve">Northeast</w:t>
      </w:r>
      <w:r>
        <w:t xml:space="preserve"> </w:t>
      </w:r>
      <w:r>
        <w:t xml:space="preserve">Pacific</w:t>
      </w:r>
      <w:r>
        <w:t xml:space="preserve"> </w:t>
      </w:r>
      <w:r>
        <w:t xml:space="preserve">Ocean</w:t>
      </w:r>
      <w:r>
        <w:t xml:space="preserve">.”</w:t>
      </w:r>
      <w:r>
        <w:t xml:space="preserve"> </w:t>
      </w:r>
      <w:hyperlink r:id="rId81">
        <w:r>
          <w:rPr>
            <w:rStyle w:val="Hyperlink"/>
          </w:rPr>
          <w:t xml:space="preserve">https://doi.org/10.1101/2025.03.14.643022</w:t>
        </w:r>
      </w:hyperlink>
      <w:r>
        <w:t xml:space="preserve">.</w:t>
      </w:r>
    </w:p>
    <w:bookmarkEnd w:id="82"/>
    <w:bookmarkStart w:id="84" w:name="ref-ween2013"/>
    <w:p>
      <w:pPr>
        <w:pStyle w:val="Bibliography"/>
      </w:pPr>
      <w:r>
        <w:t xml:space="preserve">Ween, Gro, and Benedict Colombi. 2013.</w:t>
      </w:r>
      <w:r>
        <w:t xml:space="preserve"> </w:t>
      </w:r>
      <w:r>
        <w:t xml:space="preserve">“Two Rivers: The Politics of Wild Salmon, Indigenous Rights and Natural Resource Management.”</w:t>
      </w:r>
      <w:r>
        <w:t xml:space="preserve"> </w:t>
      </w:r>
      <w:r>
        <w:rPr>
          <w:i/>
          <w:iCs/>
        </w:rPr>
        <w:t xml:space="preserve">Sustainability</w:t>
      </w:r>
      <w:r>
        <w:t xml:space="preserve"> </w:t>
      </w:r>
      <w:r>
        <w:t xml:space="preserve">5 (2): 478–95.</w:t>
      </w:r>
      <w:r>
        <w:t xml:space="preserve"> </w:t>
      </w:r>
      <w:hyperlink r:id="rId83">
        <w:r>
          <w:rPr>
            <w:rStyle w:val="Hyperlink"/>
          </w:rPr>
          <w:t xml:space="preserve">https://doi.org/10.3390/su5020478</w:t>
        </w:r>
      </w:hyperlink>
      <w:r>
        <w:t xml:space="preserve">.</w:t>
      </w:r>
    </w:p>
    <w:bookmarkEnd w:id="84"/>
    <w:bookmarkStart w:id="86" w:name="ref-wilkinson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85">
        <w:r>
          <w:rPr>
            <w:rStyle w:val="Hyperlink"/>
          </w:rPr>
          <w:t xml:space="preserve">https://doi.org/10.1038/sdata.2016.18</w:t>
        </w:r>
      </w:hyperlink>
      <w:r>
        <w:t xml:space="preserve">.</w:t>
      </w:r>
    </w:p>
    <w:bookmarkEnd w:id="86"/>
    <w:bookmarkEnd w:id="87"/>
    <w:bookmarkEnd w:id="88"/>
    <w:bookmarkEnd w:id="89"/>
    <w:bookmarkStart w:id="90" w:name="appendices"/>
    <w:p>
      <w:pPr>
        <w:pStyle w:val="Heading1"/>
      </w:pPr>
      <w:r>
        <w:t xml:space="preserve">Appendices</w:t>
      </w:r>
    </w:p>
    <w:bookmarkEnd w:id="90"/>
    <w:bookmarkStart w:id="130" w:name="section"/>
    <w:p>
      <w:pPr>
        <w:pStyle w:val="Heading1"/>
      </w:pPr>
    </w:p>
    <w:bookmarkStart w:id="129"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w:t>
      </w:r>
      <w:r>
        <w:t xml:space="preserve"> </w:t>
      </w:r>
      <w:r>
        <w:t xml:space="preserve">salmon data stewardship, along with practical applications and</w:t>
      </w:r>
      <w:r>
        <w:t xml:space="preserve"> </w:t>
      </w:r>
      <w:r>
        <w:t xml:space="preserve">real-world examples. This is not an exhaustive list, but rather a</w:t>
      </w:r>
      <w:r>
        <w:t xml:space="preserve"> </w:t>
      </w:r>
      <w:r>
        <w:t xml:space="preserve">starting point for salmon biologists and data stewards to implement</w:t>
      </w:r>
      <w:r>
        <w:t xml:space="preserve"> </w:t>
      </w:r>
      <w:r>
        <w:t xml:space="preserve">effective data stewardship practices in their work based on examples</w:t>
      </w:r>
      <w:r>
        <w:t xml:space="preserve"> </w:t>
      </w:r>
      <w:r>
        <w:t xml:space="preserve">from the salmon research and management community.</w:t>
      </w:r>
    </w:p>
    <w:bookmarkStart w:id="96"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w:t>
      </w:r>
      <w:r>
        <w:t xml:space="preserve"> </w:t>
      </w:r>
      <w:r>
        <w:t xml:space="preserve">ensuring data quality, long-term maintenance, accountability, and</w:t>
      </w:r>
      <w:r>
        <w:t xml:space="preserve"> </w:t>
      </w:r>
      <w:r>
        <w:t xml:space="preserve">compliance with community principles such as FAIR and CARE. Effective</w:t>
      </w:r>
      <w:r>
        <w:t xml:space="preserve"> </w:t>
      </w:r>
      <w:r>
        <w:t xml:space="preserve">governance fosters trust, facilitates data sharing, reduces ambiguity</w:t>
      </w:r>
      <w:r>
        <w:t xml:space="preserve"> </w:t>
      </w:r>
      <w:r>
        <w:t xml:space="preserve">regarding decision making, and is critical for coordinating both</w:t>
      </w:r>
      <w:r>
        <w:t xml:space="preserve"> </w:t>
      </w:r>
      <w:r>
        <w:t xml:space="preserve">technical and sociocultural aspects of data stewardship.</w:t>
      </w:r>
    </w:p>
    <w:p>
      <w:pPr>
        <w:pStyle w:val="BodyText"/>
      </w:pPr>
      <w:r>
        <w:t xml:space="preserve">In collaborative international or multi-organizational settings,</w:t>
      </w:r>
      <w:r>
        <w:t xml:space="preserve"> </w:t>
      </w:r>
      <w:r>
        <w:t xml:space="preserve">establishing governance at the outset of a project is crucial for</w:t>
      </w:r>
      <w:r>
        <w:t xml:space="preserve"> </w:t>
      </w:r>
      <w:r>
        <w:t xml:space="preserve">aligning diverse groups, including biologists, data managers, Indigenous</w:t>
      </w:r>
      <w:r>
        <w:t xml:space="preserve"> </w:t>
      </w:r>
      <w:r>
        <w:t xml:space="preserve">communities, policymakers, and other participants. Early governance</w:t>
      </w:r>
      <w:r>
        <w:t xml:space="preserve"> </w:t>
      </w:r>
      <w:r>
        <w:t xml:space="preserve">planning should establish clear, collaborative frameworks that respect</w:t>
      </w:r>
      <w:r>
        <w:t xml:space="preserve"> </w:t>
      </w:r>
      <w:r>
        <w:t xml:space="preserve">each group’s expertise and needs from the beginning. </w:t>
      </w:r>
    </w:p>
    <w:bookmarkStart w:id="95" w:name="practical-applications"/>
    <w:p>
      <w:pPr>
        <w:pStyle w:val="Heading5"/>
      </w:pPr>
      <w:r>
        <w:t xml:space="preserve">Practical Applications:</w:t>
      </w:r>
    </w:p>
    <w:p>
      <w:pPr>
        <w:pStyle w:val="FirstParagraph"/>
      </w:pPr>
      <w:r>
        <w:t xml:space="preserve">1.1 Document roles and responsibilities clearly at project start using a</w:t>
      </w:r>
      <w:r>
        <w:t xml:space="preserve"> </w:t>
      </w:r>
      <w:r>
        <w:t xml:space="preserve">Project or Data Product Governance Charter and structured frameworks</w:t>
      </w:r>
      <w:r>
        <w:t xml:space="preserve"> </w:t>
      </w:r>
      <w:r>
        <w:t xml:space="preserve">(e.g., DACI or RACI charts) that relate to organizational data policies.</w:t>
      </w:r>
    </w:p>
    <w:p>
      <w:pPr>
        <w:numPr>
          <w:ilvl w:val="0"/>
          <w:numId w:val="1006"/>
        </w:numPr>
      </w:pPr>
      <w:hyperlink r:id="rId91">
        <w:r>
          <w:rPr>
            <w:rStyle w:val="Hyperlink"/>
          </w:rPr>
          <w:t xml:space="preserve">Example of a Data Management Plan from the California Department of</w:t>
        </w:r>
        <w:r>
          <w:rPr>
            <w:rStyle w:val="Hyperlink"/>
          </w:rPr>
          <w:t xml:space="preserve"> </w:t>
        </w:r>
        <w:r>
          <w:rPr>
            <w:rStyle w:val="Hyperlink"/>
          </w:rPr>
          <w:t xml:space="preserve">Water</w:t>
        </w:r>
        <w:r>
          <w:rPr>
            <w:rStyle w:val="Hyperlink"/>
          </w:rPr>
          <w:t xml:space="preserve"> </w:t>
        </w:r>
        <w:r>
          <w:rPr>
            <w:rStyle w:val="Hyperlink"/>
          </w:rPr>
          <w:t xml:space="preserve">Resources</w:t>
        </w:r>
      </w:hyperlink>
    </w:p>
    <w:p>
      <w:pPr>
        <w:numPr>
          <w:ilvl w:val="0"/>
          <w:numId w:val="1006"/>
        </w:numPr>
      </w:pPr>
      <w:r>
        <w:t xml:space="preserve">Data Management Plan Templates from</w:t>
      </w:r>
      <w:r>
        <w:t xml:space="preserve"> </w:t>
      </w:r>
      <w:hyperlink r:id="rId92">
        <w:r>
          <w:rPr>
            <w:rStyle w:val="Hyperlink"/>
          </w:rPr>
          <w:t xml:space="preserve">DMPTool</w:t>
        </w:r>
      </w:hyperlink>
      <w:r>
        <w:t xml:space="preserve">, and</w:t>
      </w:r>
      <w:r>
        <w:t xml:space="preserve"> </w:t>
      </w:r>
      <w:hyperlink r:id="rId69">
        <w:r>
          <w:rPr>
            <w:rStyle w:val="Hyperlink"/>
          </w:rPr>
          <w:t xml:space="preserve">NOAA</w:t>
        </w:r>
        <w:r>
          <w:rPr>
            <w:rStyle w:val="Hyperlink"/>
          </w:rPr>
          <w:t xml:space="preserve"> </w:t>
        </w:r>
        <w:r>
          <w:rPr>
            <w:rStyle w:val="Hyperlink"/>
          </w:rPr>
          <w:t xml:space="preserve">Data Management</w:t>
        </w:r>
        <w:r>
          <w:rPr>
            <w:rStyle w:val="Hyperlink"/>
          </w:rPr>
          <w:t xml:space="preserve"> </w:t>
        </w:r>
        <w:r>
          <w:rPr>
            <w:rStyle w:val="Hyperlink"/>
          </w:rPr>
          <w:t xml:space="preserve">Handbook</w:t>
        </w:r>
      </w:hyperlink>
    </w:p>
    <w:p>
      <w:pPr>
        <w:pStyle w:val="FirstParagraph"/>
      </w:pPr>
      <w:r>
        <w:t xml:space="preserve">1.2 Integrate CARE principles to ensure ethical governance and respect</w:t>
      </w:r>
      <w:r>
        <w:t xml:space="preserve"> </w:t>
      </w:r>
      <w:r>
        <w:t xml:space="preserve">Indigenous data rights.</w:t>
      </w:r>
    </w:p>
    <w:p>
      <w:pPr>
        <w:pStyle w:val="Compact"/>
        <w:numPr>
          <w:ilvl w:val="0"/>
          <w:numId w:val="1007"/>
        </w:numPr>
      </w:pPr>
      <w:r>
        <w:t xml:space="preserve">Northwest Indian Fisheries Commission use password protected website</w:t>
      </w:r>
      <w:r>
        <w:t xml:space="preserve"> </w:t>
      </w:r>
      <w:r>
        <w:t xml:space="preserve">to host all the WDFW and tribal data in a one-stop shopping website</w:t>
      </w:r>
      <w:r>
        <w:t xml:space="preserve"> </w:t>
      </w:r>
      <w:r>
        <w:t xml:space="preserve">for co-managers to pull data they need for decision-making process.</w:t>
      </w:r>
      <w:r>
        <w:t xml:space="preserve"> </w:t>
      </w:r>
      <w:hyperlink r:id="rId93">
        <w:r>
          <w:rPr>
            <w:rStyle w:val="Hyperlink"/>
          </w:rPr>
          <w:t xml:space="preserve">https://fisheriesservices.nwifc.org/</w:t>
        </w:r>
      </w:hyperlink>
    </w:p>
    <w:p>
      <w:pPr>
        <w:pStyle w:val="FirstParagraph"/>
      </w:pPr>
      <w:r>
        <w:t xml:space="preserve">1.3 Create a governance or oversight committee for regular data practice</w:t>
      </w:r>
      <w:r>
        <w:t xml:space="preserve"> </w:t>
      </w:r>
      <w:r>
        <w:t xml:space="preserve">reviews and decision making regarding data structures, timelines, data</w:t>
      </w:r>
      <w:r>
        <w:t xml:space="preserve"> </w:t>
      </w:r>
      <w:r>
        <w:t xml:space="preserve">sharing agreements and interoperability protocols</w:t>
      </w:r>
    </w:p>
    <w:p>
      <w:pPr>
        <w:pStyle w:val="Compact"/>
        <w:numPr>
          <w:ilvl w:val="0"/>
          <w:numId w:val="1008"/>
        </w:numPr>
      </w:pPr>
      <w:r>
        <w:t xml:space="preserve">Pacific Salmon Commission has formed a Technical Committee on Data</w:t>
      </w:r>
      <w:r>
        <w:t xml:space="preserve"> </w:t>
      </w:r>
      <w:r>
        <w:t xml:space="preserve">Sharing including both US and Canadian data contributors.</w:t>
      </w:r>
      <w:r>
        <w:t xml:space="preserve"> </w:t>
      </w:r>
      <w:hyperlink r:id="rId94">
        <w:r>
          <w:rPr>
            <w:rStyle w:val="Hyperlink"/>
          </w:rPr>
          <w:t xml:space="preserve">https://www.psc.org/membership-lists/</w:t>
        </w:r>
      </w:hyperlink>
    </w:p>
    <w:bookmarkEnd w:id="95"/>
    <w:bookmarkEnd w:id="96"/>
    <w:bookmarkStart w:id="101"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w:t>
      </w:r>
      <w:r>
        <w:t xml:space="preserve"> </w:t>
      </w:r>
      <w:r>
        <w:t xml:space="preserve">existing platforms and technologies reduces costs, accelerates</w:t>
      </w:r>
      <w:r>
        <w:t xml:space="preserve"> </w:t>
      </w:r>
      <w:r>
        <w:t xml:space="preserve">implementation, and increases data interoperability. Building modular,</w:t>
      </w:r>
      <w:r>
        <w:t xml:space="preserve"> </w:t>
      </w:r>
      <w:r>
        <w:t xml:space="preserve">interoperable systems grounded in proven technologies ensures</w:t>
      </w:r>
      <w:r>
        <w:t xml:space="preserve"> </w:t>
      </w:r>
      <w:r>
        <w:t xml:space="preserve">sustainable long-term stewardship.</w:t>
      </w:r>
    </w:p>
    <w:bookmarkStart w:id="100" w:name="practical-applications-1"/>
    <w:p>
      <w:pPr>
        <w:pStyle w:val="Heading5"/>
      </w:pPr>
      <w:r>
        <w:t xml:space="preserve">Practical Applications:</w:t>
      </w:r>
    </w:p>
    <w:p>
      <w:pPr>
        <w:pStyle w:val="FirstParagraph"/>
      </w:pPr>
      <w:r>
        <w:t xml:space="preserve">2.1</w:t>
      </w:r>
      <w:r>
        <w:t xml:space="preserve"> </w:t>
      </w:r>
      <w:hyperlink r:id="rId97">
        <w:r>
          <w:rPr>
            <w:rStyle w:val="Hyperlink"/>
          </w:rPr>
          <w:t xml:space="preserve">Use the Ocean Biodiversity Information System or the Global</w:t>
        </w:r>
        <w:r>
          <w:rPr>
            <w:rStyle w:val="Hyperlink"/>
          </w:rPr>
          <w:t xml:space="preserve"> </w:t>
        </w:r>
        <w:r>
          <w:rPr>
            <w:rStyle w:val="Hyperlink"/>
          </w:rPr>
          <w:t xml:space="preserve">Biodiversity Information Facility to standardize and host your</w:t>
        </w:r>
        <w:r>
          <w:rPr>
            <w:rStyle w:val="Hyperlink"/>
          </w:rPr>
          <w:t xml:space="preserve"> </w:t>
        </w:r>
        <w:r>
          <w:rPr>
            <w:rStyle w:val="Hyperlink"/>
          </w:rPr>
          <w:t xml:space="preserve">data</w:t>
        </w:r>
      </w:hyperlink>
    </w:p>
    <w:p>
      <w:pPr>
        <w:pStyle w:val="BodyText"/>
      </w:pPr>
      <w:r>
        <w:t xml:space="preserve">2.2 Use free data catalogue services such as the Knowledge Network for</w:t>
      </w:r>
      <w:r>
        <w:t xml:space="preserve"> </w:t>
      </w:r>
      <w:r>
        <w:t xml:space="preserve">Biocomplexity (KNB) or Zenodo</w:t>
      </w:r>
    </w:p>
    <w:p>
      <w:pPr>
        <w:pStyle w:val="Compact"/>
        <w:numPr>
          <w:ilvl w:val="0"/>
          <w:numId w:val="1009"/>
        </w:numPr>
      </w:pPr>
      <w:r>
        <w:t xml:space="preserve">The Pacific Salmon Foundation’s</w:t>
      </w:r>
      <w:r>
        <w:t xml:space="preserve"> </w:t>
      </w:r>
      <w:hyperlink r:id="rId98">
        <w:r>
          <w:rPr>
            <w:rStyle w:val="Hyperlink"/>
          </w:rPr>
          <w:t xml:space="preserve">spawner surveys dataset on</w:t>
        </w:r>
        <w:r>
          <w:rPr>
            <w:rStyle w:val="Hyperlink"/>
          </w:rPr>
          <w:t xml:space="preserve"> </w:t>
        </w:r>
        <w:r>
          <w:rPr>
            <w:rStyle w:val="Hyperlink"/>
          </w:rPr>
          <w:t xml:space="preserve">Zenodo</w:t>
        </w:r>
      </w:hyperlink>
      <w:r>
        <w:t xml:space="preserve"> </w:t>
      </w:r>
      <w:r>
        <w:t xml:space="preserve">(Carturan and</w:t>
      </w:r>
      <w:r>
        <w:t xml:space="preserve"> </w:t>
      </w:r>
      <w:r>
        <w:t xml:space="preserve">Peacock 2025) received more views within weeks than a</w:t>
      </w:r>
      <w:r>
        <w:t xml:space="preserve"> </w:t>
      </w:r>
      <w:hyperlink r:id="rId99">
        <w:r>
          <w:rPr>
            <w:rStyle w:val="Hyperlink"/>
          </w:rPr>
          <w:t xml:space="preserve">analogous</w:t>
        </w:r>
        <w:r>
          <w:rPr>
            <w:rStyle w:val="Hyperlink"/>
          </w:rPr>
          <w:t xml:space="preserve"> </w:t>
        </w:r>
        <w:r>
          <w:rPr>
            <w:rStyle w:val="Hyperlink"/>
          </w:rPr>
          <w:t xml:space="preserve">dataset in the Salmon Data</w:t>
        </w:r>
        <w:r>
          <w:rPr>
            <w:rStyle w:val="Hyperlink"/>
          </w:rPr>
          <w:t xml:space="preserve"> </w:t>
        </w:r>
        <w:r>
          <w:rPr>
            <w:rStyle w:val="Hyperlink"/>
          </w:rPr>
          <w:t xml:space="preserve">Library</w:t>
        </w:r>
      </w:hyperlink>
      <w:r>
        <w:t xml:space="preserve"> </w:t>
      </w:r>
      <w:r>
        <w:t xml:space="preserve">(Pacific</w:t>
      </w:r>
      <w:r>
        <w:t xml:space="preserve"> </w:t>
      </w:r>
      <w:r>
        <w:t xml:space="preserve">Salmon Foundation 2025) did over several years, illustrating that</w:t>
      </w:r>
      <w:r>
        <w:t xml:space="preserve"> </w:t>
      </w:r>
      <w:r>
        <w:t xml:space="preserve">leveraging established public data infrastructures, rather than</w:t>
      </w:r>
      <w:r>
        <w:t xml:space="preserve"> </w:t>
      </w:r>
      <w:r>
        <w:t xml:space="preserve">developing institution-specific ones, can substantially increase</w:t>
      </w:r>
      <w:r>
        <w:t xml:space="preserve"> </w:t>
      </w:r>
      <w:r>
        <w:t xml:space="preserve">discoverability.</w:t>
      </w:r>
    </w:p>
    <w:bookmarkEnd w:id="100"/>
    <w:bookmarkEnd w:id="101"/>
    <w:bookmarkStart w:id="107"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w:t>
      </w:r>
      <w:r>
        <w:t xml:space="preserve"> </w:t>
      </w:r>
      <w:r>
        <w:t xml:space="preserve">(DOI) are essential for tracking the provenance and reuse of data, and</w:t>
      </w:r>
      <w:r>
        <w:t xml:space="preserve"> </w:t>
      </w:r>
      <w:r>
        <w:t xml:space="preserve">linking data, protocols, organizations and people. They allow for</w:t>
      </w:r>
      <w:r>
        <w:t xml:space="preserve"> </w:t>
      </w:r>
      <w:r>
        <w:t xml:space="preserve">consistent referencing, integration across systems, and automated credit</w:t>
      </w:r>
      <w:r>
        <w:t xml:space="preserve"> </w:t>
      </w:r>
      <w:r>
        <w:t xml:space="preserve">via data citation.</w:t>
      </w:r>
    </w:p>
    <w:bookmarkStart w:id="106" w:name="practical-applications-2"/>
    <w:p>
      <w:pPr>
        <w:pStyle w:val="Heading5"/>
      </w:pPr>
      <w:r>
        <w:t xml:space="preserve">Practical Applications:</w:t>
      </w:r>
    </w:p>
    <w:p>
      <w:pPr>
        <w:pStyle w:val="FirstParagraph"/>
      </w:pPr>
      <w:r>
        <w:t xml:space="preserve">3.1 Encourage researchers to register for an</w:t>
      </w:r>
      <w:r>
        <w:t xml:space="preserve"> </w:t>
      </w:r>
      <w:hyperlink r:id="rId102">
        <w:r>
          <w:rPr>
            <w:rStyle w:val="Hyperlink"/>
          </w:rPr>
          <w:t xml:space="preserve">Open Researcher and</w:t>
        </w:r>
        <w:r>
          <w:rPr>
            <w:rStyle w:val="Hyperlink"/>
          </w:rPr>
          <w:t xml:space="preserve"> </w:t>
        </w:r>
        <w:r>
          <w:rPr>
            <w:rStyle w:val="Hyperlink"/>
          </w:rPr>
          <w:t xml:space="preserve">Contributor ID (ORCID)</w:t>
        </w:r>
      </w:hyperlink>
      <w:r>
        <w:t xml:space="preserve"> </w:t>
      </w:r>
      <w:r>
        <w:t xml:space="preserve">and include ORCIDs in</w:t>
      </w:r>
      <w:r>
        <w:t xml:space="preserve"> </w:t>
      </w:r>
      <w:r>
        <w:t xml:space="preserve">metadata records and submission forms</w:t>
      </w:r>
    </w:p>
    <w:p>
      <w:pPr>
        <w:pStyle w:val="BodyText"/>
      </w:pPr>
      <w:r>
        <w:t xml:space="preserve">3.2 Register your organization with the Research Organization Registry</w:t>
      </w:r>
      <w:r>
        <w:t xml:space="preserve"> </w:t>
      </w:r>
      <w:r>
        <w:t xml:space="preserve">(ROR) and use ROR IDs to identify institutions involved in salmon</w:t>
      </w:r>
      <w:r>
        <w:t xml:space="preserve"> </w:t>
      </w:r>
      <w:r>
        <w:t xml:space="preserve">science.</w:t>
      </w:r>
    </w:p>
    <w:p>
      <w:pPr>
        <w:pStyle w:val="Compact"/>
        <w:numPr>
          <w:ilvl w:val="0"/>
          <w:numId w:val="1010"/>
        </w:numPr>
      </w:pPr>
      <w:r>
        <w:t xml:space="preserve">Several salmon data holding institutions are already</w:t>
      </w:r>
      <w:r>
        <w:t xml:space="preserve"> </w:t>
      </w:r>
      <w:hyperlink r:id="rId103">
        <w:r>
          <w:rPr>
            <w:rStyle w:val="Hyperlink"/>
          </w:rPr>
          <w:t xml:space="preserve">registered with</w:t>
        </w:r>
        <w:r>
          <w:rPr>
            <w:rStyle w:val="Hyperlink"/>
          </w:rPr>
          <w:t xml:space="preserve"> </w:t>
        </w:r>
        <w:r>
          <w:rPr>
            <w:rStyle w:val="Hyperlink"/>
          </w:rPr>
          <w:t xml:space="preserve">ROR</w:t>
        </w:r>
      </w:hyperlink>
      <w:r>
        <w:t xml:space="preserve">. As a result, those</w:t>
      </w:r>
      <w:r>
        <w:t xml:space="preserve"> </w:t>
      </w:r>
      <w:r>
        <w:t xml:space="preserve">organizations can track and demonstrate their scholarly impact from</w:t>
      </w:r>
      <w:r>
        <w:t xml:space="preserve"> </w:t>
      </w:r>
      <w:r>
        <w:t xml:space="preserve">data publications:</w:t>
      </w:r>
      <w:r>
        <w:t xml:space="preserve"> </w:t>
      </w:r>
      <w:hyperlink r:id="rId104">
        <w:r>
          <w:rPr>
            <w:rStyle w:val="Hyperlink"/>
          </w:rPr>
          <w:t xml:space="preserve">DataCite Commons: Pacific Salmon</w:t>
        </w:r>
        <w:r>
          <w:rPr>
            <w:rStyle w:val="Hyperlink"/>
          </w:rPr>
          <w:t xml:space="preserve"> </w:t>
        </w:r>
        <w:r>
          <w:rPr>
            <w:rStyle w:val="Hyperlink"/>
          </w:rPr>
          <w:t xml:space="preserve">Foundation</w:t>
        </w:r>
      </w:hyperlink>
    </w:p>
    <w:p>
      <w:pPr>
        <w:pStyle w:val="FirstParagraph"/>
      </w:pPr>
      <w:r>
        <w:t xml:space="preserve">3.3 Assign DOIs to data packages, protocols, and reports using DataCite.</w:t>
      </w:r>
      <w:r>
        <w:t xml:space="preserve"> </w:t>
      </w:r>
      <w:r>
        <w:t xml:space="preserve">Maintain version history for all metadata records and document the</w:t>
      </w:r>
      <w:r>
        <w:t xml:space="preserve"> </w:t>
      </w:r>
      <w:r>
        <w:t xml:space="preserve">provenance of metadata creation, updates, and quality control processes</w:t>
      </w:r>
      <w:r>
        <w:t xml:space="preserve"> </w:t>
      </w:r>
      <w:r>
        <w:t xml:space="preserve">to ensure accountability and traceability.</w:t>
      </w:r>
    </w:p>
    <w:p>
      <w:pPr>
        <w:pStyle w:val="Compact"/>
        <w:numPr>
          <w:ilvl w:val="0"/>
          <w:numId w:val="1011"/>
        </w:numPr>
      </w:pPr>
      <w:r>
        <w:t xml:space="preserve">The North Pacific Anadromous FIsh Commission (NPAFC) assigns DOIs to</w:t>
      </w:r>
      <w:r>
        <w:t xml:space="preserve"> </w:t>
      </w:r>
      <w:r>
        <w:t xml:space="preserve">IYS-related data packages which are served by a CKAN catalogue at</w:t>
      </w:r>
      <w:r>
        <w:t xml:space="preserve"> </w:t>
      </w:r>
      <w:hyperlink r:id="rId105">
        <w:r>
          <w:rPr>
            <w:rStyle w:val="Hyperlink"/>
          </w:rPr>
          <w:t xml:space="preserve">https://data.npafc.org</w:t>
        </w:r>
      </w:hyperlink>
      <w:r>
        <w:t xml:space="preserve">. The Commission also assigns DOIs to NPAFC</w:t>
      </w:r>
      <w:r>
        <w:t xml:space="preserve"> </w:t>
      </w:r>
      <w:r>
        <w:t xml:space="preserve">Technical Reports and Bulletins.</w:t>
      </w:r>
    </w:p>
    <w:p>
      <w:pPr>
        <w:pStyle w:val="FirstParagraph"/>
      </w:pPr>
      <w:r>
        <w:t xml:space="preserve">3.4 Embed DOIs in dashboards, figures, and metadata so they persist in</w:t>
      </w:r>
      <w:r>
        <w:t xml:space="preserve"> </w:t>
      </w:r>
      <w:r>
        <w:t xml:space="preserve">derivative products.</w:t>
      </w:r>
    </w:p>
    <w:bookmarkEnd w:id="106"/>
    <w:bookmarkEnd w:id="107"/>
    <w:bookmarkStart w:id="114"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w:t>
      </w:r>
      <w:r>
        <w:t xml:space="preserve"> </w:t>
      </w:r>
      <w:r>
        <w:t xml:space="preserve">correctly and integrated across systems. Controlled vocabularies,</w:t>
      </w:r>
      <w:r>
        <w:t xml:space="preserve"> </w:t>
      </w:r>
      <w:r>
        <w:t xml:space="preserve">community ontologies, and structured metadata schemas allow data to</w:t>
      </w:r>
      <w:r>
        <w:t xml:space="preserve"> </w:t>
      </w:r>
      <w:r>
        <w:t xml:space="preserve">retain its full semantic meaning.</w:t>
      </w:r>
    </w:p>
    <w:bookmarkStart w:id="113" w:name="practical-applications-3"/>
    <w:p>
      <w:pPr>
        <w:pStyle w:val="Heading5"/>
      </w:pPr>
      <w:r>
        <w:t xml:space="preserve">Practical Applications:</w:t>
      </w:r>
    </w:p>
    <w:p>
      <w:pPr>
        <w:pStyle w:val="FirstParagraph"/>
      </w:pPr>
      <w:r>
        <w:t xml:space="preserve">4.1 Configure data catalogues and metadata intake tools to accept</w:t>
      </w:r>
      <w:r>
        <w:t xml:space="preserve"> </w:t>
      </w:r>
      <w:r>
        <w:t xml:space="preserve">internationally recognized metadata schemas such as ISO 19115,</w:t>
      </w:r>
      <w:r>
        <w:t xml:space="preserve"> </w:t>
      </w:r>
      <w:r>
        <w:t xml:space="preserve">Ecological Metadata Language (EML), or DataCite. Implement automated</w:t>
      </w:r>
      <w:r>
        <w:t xml:space="preserve"> </w:t>
      </w:r>
      <w:r>
        <w:t xml:space="preserve">validation against schema requirements and manual review processes to</w:t>
      </w:r>
      <w:r>
        <w:t xml:space="preserve"> </w:t>
      </w:r>
      <w:r>
        <w:t xml:space="preserve">ensure metadata completeness, accuracy, and consistency before</w:t>
      </w:r>
      <w:r>
        <w:t xml:space="preserve"> </w:t>
      </w:r>
      <w:r>
        <w:t xml:space="preserve">publication.</w:t>
      </w:r>
    </w:p>
    <w:p>
      <w:pPr>
        <w:pStyle w:val="Compact"/>
        <w:numPr>
          <w:ilvl w:val="0"/>
          <w:numId w:val="1012"/>
        </w:numPr>
      </w:pPr>
      <w:r>
        <w:t xml:space="preserve">The Pacific Salmon Foundation’s data portal asks contributors to</w:t>
      </w:r>
      <w:r>
        <w:t xml:space="preserve"> </w:t>
      </w:r>
      <w:r>
        <w:t xml:space="preserve">provide metadata in ISO 19115 or other standard formats.</w:t>
      </w:r>
      <w:r>
        <w:t xml:space="preserve"> </w:t>
      </w:r>
      <w:r>
        <w:t xml:space="preserve">marinedata.psf.ca</w:t>
      </w:r>
      <w:r>
        <w:t xml:space="preserve">,</w:t>
      </w:r>
      <w:r>
        <w:t xml:space="preserve"> </w:t>
      </w:r>
      <w:r>
        <w:t xml:space="preserve">ensuring consistent metadata structure</w:t>
      </w:r>
    </w:p>
    <w:p>
      <w:pPr>
        <w:pStyle w:val="Compact"/>
        <w:numPr>
          <w:ilvl w:val="0"/>
          <w:numId w:val="1012"/>
        </w:numPr>
      </w:pPr>
      <w:r>
        <w:t xml:space="preserve">The NPAFC uses ISO 19115 metadata standard in their data catalogue</w:t>
      </w:r>
      <w:r>
        <w:t xml:space="preserve"> </w:t>
      </w:r>
      <w:r>
        <w:t xml:space="preserve">https://data.npafc.org</w:t>
      </w:r>
    </w:p>
    <w:p>
      <w:pPr>
        <w:pStyle w:val="FirstParagraph"/>
      </w:pPr>
      <w:r>
        <w:t xml:space="preserve">4.2 Model datasets and databases using the</w:t>
      </w:r>
      <w:r>
        <w:t xml:space="preserve"> </w:t>
      </w:r>
      <w:hyperlink r:id="rId108">
        <w:r>
          <w:rPr>
            <w:rStyle w:val="Hyperlink"/>
          </w:rPr>
          <w:t xml:space="preserve">Darwin Core</w:t>
        </w:r>
        <w:r>
          <w:rPr>
            <w:rStyle w:val="Hyperlink"/>
          </w:rPr>
          <w:t xml:space="preserve"> </w:t>
        </w:r>
        <w:r>
          <w:rPr>
            <w:rStyle w:val="Hyperlink"/>
          </w:rPr>
          <w:t xml:space="preserve">Standard</w:t>
        </w:r>
      </w:hyperlink>
    </w:p>
    <w:p>
      <w:pPr>
        <w:numPr>
          <w:ilvl w:val="0"/>
          <w:numId w:val="1013"/>
        </w:numPr>
      </w:pPr>
      <w:r>
        <w:t xml:space="preserve">The Hakai Institute Juvenile Salmon Program publishes their data to</w:t>
      </w:r>
      <w:r>
        <w:t xml:space="preserve"> </w:t>
      </w:r>
      <w:r>
        <w:t xml:space="preserve">OBIS using Darwin Core:</w:t>
      </w:r>
      <w:r>
        <w:t xml:space="preserve"> </w:t>
      </w:r>
      <w:hyperlink r:id="rId109">
        <w:r>
          <w:rPr>
            <w:rStyle w:val="Hyperlink"/>
          </w:rPr>
          <w:t xml:space="preserve">Hakai Institute Juvenile Salmon</w:t>
        </w:r>
        <w:r>
          <w:rPr>
            <w:rStyle w:val="Hyperlink"/>
          </w:rPr>
          <w:t xml:space="preserve"> </w:t>
        </w:r>
        <w:r>
          <w:rPr>
            <w:rStyle w:val="Hyperlink"/>
          </w:rPr>
          <w:t xml:space="preserve">Program</w:t>
        </w:r>
      </w:hyperlink>
    </w:p>
    <w:p>
      <w:pPr>
        <w:numPr>
          <w:ilvl w:val="0"/>
          <w:numId w:val="1013"/>
        </w:numPr>
      </w:pPr>
      <w:r>
        <w:t xml:space="preserve">The International Year of the Salmon High Seas Expeditions data</w:t>
      </w:r>
      <w:r>
        <w:t xml:space="preserve"> </w:t>
      </w:r>
      <w:r>
        <w:t xml:space="preserve">mobilization efforts [</w:t>
      </w:r>
      <w:r>
        <w:t xml:space="preserve">Johnson and Stap (2024)</w:t>
      </w:r>
      <w:r>
        <w:t xml:space="preserve">] published their data to OBIS:</w:t>
      </w:r>
      <w:r>
        <w:t xml:space="preserve"> </w:t>
      </w:r>
      <w:hyperlink r:id="rId110">
        <w:r>
          <w:rPr>
            <w:rStyle w:val="Hyperlink"/>
          </w:rPr>
          <w:t xml:space="preserve">https://www.gbif.org/dataset/search?project_id=IYS</w:t>
        </w:r>
      </w:hyperlink>
    </w:p>
    <w:p>
      <w:pPr>
        <w:pStyle w:val="FirstParagraph"/>
      </w:pPr>
      <w:r>
        <w:t xml:space="preserve">4.3 Re-use or publish data terms that are shared online using a</w:t>
      </w:r>
      <w:r>
        <w:t xml:space="preserve"> </w:t>
      </w:r>
      <w:r>
        <w:t xml:space="preserve">persistent identifier in a controlled vocabulary or ontology</w:t>
      </w:r>
    </w:p>
    <w:p>
      <w:pPr>
        <w:numPr>
          <w:ilvl w:val="0"/>
          <w:numId w:val="1014"/>
        </w:numPr>
      </w:pPr>
      <w:r>
        <w:t xml:space="preserve">DFO Salmon Ontology…</w:t>
      </w:r>
    </w:p>
    <w:p>
      <w:pPr>
        <w:numPr>
          <w:ilvl w:val="0"/>
          <w:numId w:val="1014"/>
        </w:numPr>
      </w:pPr>
      <w:r>
        <w:t xml:space="preserve">State of Alaska Salmon and People…</w:t>
      </w:r>
    </w:p>
    <w:p>
      <w:pPr>
        <w:numPr>
          <w:ilvl w:val="0"/>
          <w:numId w:val="1014"/>
        </w:numPr>
      </w:pPr>
      <w:r>
        <w:t xml:space="preserve">Measurement Types in OBIS…</w:t>
      </w:r>
    </w:p>
    <w:p>
      <w:pPr>
        <w:numPr>
          <w:ilvl w:val="0"/>
          <w:numId w:val="1014"/>
        </w:numPr>
      </w:pPr>
      <w:r>
        <w:t xml:space="preserve">WDFW has definitions of all hatchery escapement data.</w:t>
      </w:r>
      <w:r>
        <w:t xml:space="preserve"> </w:t>
      </w:r>
      <w:hyperlink r:id="rId111">
        <w:r>
          <w:rPr>
            <w:rStyle w:val="Hyperlink"/>
          </w:rPr>
          <w:t xml:space="preserve">Hatchery</w:t>
        </w:r>
        <w:r>
          <w:rPr>
            <w:rStyle w:val="Hyperlink"/>
          </w:rPr>
          <w:t xml:space="preserve"> </w:t>
        </w:r>
        <w:r>
          <w:rPr>
            <w:rStyle w:val="Hyperlink"/>
          </w:rPr>
          <w:t xml:space="preserve">escapement reports | Washington Department of Fish &amp;</w:t>
        </w:r>
        <w:r>
          <w:rPr>
            <w:rStyle w:val="Hyperlink"/>
          </w:rPr>
          <w:t xml:space="preserve"> </w:t>
        </w:r>
        <w:r>
          <w:rPr>
            <w:rStyle w:val="Hyperlink"/>
          </w:rPr>
          <w:t xml:space="preserve">Wildlife</w:t>
        </w:r>
      </w:hyperlink>
    </w:p>
    <w:p>
      <w:pPr>
        <w:numPr>
          <w:ilvl w:val="0"/>
          <w:numId w:val="1014"/>
        </w:numPr>
      </w:pPr>
      <w:r>
        <w:t xml:space="preserve">Fish Passage Counts has defined metadata that can be used across OFDW</w:t>
      </w:r>
      <w:r>
        <w:t xml:space="preserve"> </w:t>
      </w:r>
      <w:r>
        <w:t xml:space="preserve">and WDFW.</w:t>
      </w:r>
      <w:r>
        <w:t xml:space="preserve"> </w:t>
      </w:r>
      <w:hyperlink r:id="rId112">
        <w:r>
          <w:rPr>
            <w:rStyle w:val="Hyperlink"/>
          </w:rPr>
          <w:t xml:space="preserve">https://www.fpc.org/111_sharedfiles/ColumbiaRiverBasinAdultFishPassageCountsMetadata.pdf</w:t>
        </w:r>
      </w:hyperlink>
    </w:p>
    <w:bookmarkEnd w:id="113"/>
    <w:bookmarkEnd w:id="114"/>
    <w:bookmarkStart w:id="118"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w:t>
      </w:r>
      <w:r>
        <w:t xml:space="preserve"> </w:t>
      </w:r>
      <w:r>
        <w:t xml:space="preserve">management, enabling seamless integration with tools and applications.</w:t>
      </w:r>
      <w:r>
        <w:t xml:space="preserve"> </w:t>
      </w:r>
      <w:r>
        <w:t xml:space="preserve">Ensuring accessible, persistent data storage requires more than just</w:t>
      </w:r>
      <w:r>
        <w:t xml:space="preserve"> </w:t>
      </w:r>
      <w:r>
        <w:t xml:space="preserve">file hosting. Data should be structured, accessible via API, and stored</w:t>
      </w:r>
      <w:r>
        <w:t xml:space="preserve"> </w:t>
      </w:r>
      <w:r>
        <w:t xml:space="preserve">in repositories that support long-term preservation.</w:t>
      </w:r>
    </w:p>
    <w:bookmarkStart w:id="117" w:name="practical-applications-4"/>
    <w:p>
      <w:pPr>
        <w:pStyle w:val="Heading5"/>
      </w:pPr>
      <w:r>
        <w:t xml:space="preserve">Practical Applications:</w:t>
      </w:r>
    </w:p>
    <w:p>
      <w:pPr>
        <w:pStyle w:val="FirstParagraph"/>
      </w:pPr>
      <w:r>
        <w:t xml:space="preserve">5.1 Provide Direct Data Access via Application Programming Interfaces</w:t>
      </w:r>
      <w:r>
        <w:t xml:space="preserve"> </w:t>
      </w:r>
      <w:r>
        <w:t xml:space="preserve">(APIs) using tools such as FastAPI, Flask, or Django REST Framework that</w:t>
      </w:r>
      <w:r>
        <w:t xml:space="preserve"> </w:t>
      </w:r>
      <w:r>
        <w:t xml:space="preserve">allows users to access, filter, and retrieve data programmatically,</w:t>
      </w:r>
      <w:r>
        <w:t xml:space="preserve"> </w:t>
      </w:r>
      <w:r>
        <w:t xml:space="preserve">facilitating automation and integration into analytical tools and</w:t>
      </w:r>
      <w:r>
        <w:t xml:space="preserve"> </w:t>
      </w:r>
      <w:r>
        <w:t xml:space="preserve">decision-support systems</w:t>
      </w:r>
    </w:p>
    <w:p>
      <w:pPr>
        <w:pStyle w:val="Compact"/>
        <w:numPr>
          <w:ilvl w:val="0"/>
          <w:numId w:val="1015"/>
        </w:numPr>
      </w:pPr>
      <w:r>
        <w:t xml:space="preserve">The Pacific States Marine Fisheries Commission make’s their</w:t>
      </w:r>
      <w:r>
        <w:t xml:space="preserve"> </w:t>
      </w:r>
      <w:hyperlink r:id="rId115">
        <w:r>
          <w:rPr>
            <w:rStyle w:val="Hyperlink"/>
          </w:rPr>
          <w:t xml:space="preserve">PIT Tag</w:t>
        </w:r>
        <w:r>
          <w:rPr>
            <w:rStyle w:val="Hyperlink"/>
          </w:rPr>
          <w:t xml:space="preserve"> </w:t>
        </w:r>
        <w:r>
          <w:rPr>
            <w:rStyle w:val="Hyperlink"/>
          </w:rPr>
          <w:t xml:space="preserve">Information</w:t>
        </w:r>
        <w:r>
          <w:rPr>
            <w:rStyle w:val="Hyperlink"/>
          </w:rPr>
          <w:t xml:space="preserve"> </w:t>
        </w:r>
        <w:r>
          <w:rPr>
            <w:rStyle w:val="Hyperlink"/>
          </w:rPr>
          <w:t xml:space="preserve">System</w:t>
        </w:r>
      </w:hyperlink>
      <w:r>
        <w:t xml:space="preserve"> </w:t>
      </w:r>
      <w:r>
        <w:t xml:space="preserve">data accessible via the</w:t>
      </w:r>
      <w:r>
        <w:t xml:space="preserve"> </w:t>
      </w:r>
      <w:hyperlink r:id="rId116">
        <w:r>
          <w:rPr>
            <w:rStyle w:val="Hyperlink"/>
          </w:rPr>
          <w:t xml:space="preserve">PTAGIS</w:t>
        </w:r>
        <w:r>
          <w:rPr>
            <w:rStyle w:val="Hyperlink"/>
          </w:rPr>
          <w:t xml:space="preserve"> </w:t>
        </w:r>
        <w:r>
          <w:rPr>
            <w:rStyle w:val="Hyperlink"/>
          </w:rPr>
          <w:t xml:space="preserve">API</w:t>
        </w:r>
      </w:hyperlink>
    </w:p>
    <w:p>
      <w:pPr>
        <w:pStyle w:val="FirstParagraph"/>
      </w:pPr>
      <w:r>
        <w:t xml:space="preserve">5.2 Archive data in certified long-term, domain-specific repositories</w:t>
      </w:r>
      <w:r>
        <w:t xml:space="preserve"> </w:t>
      </w:r>
      <w:r>
        <w:t xml:space="preserve">such as the Global Biodiversity Information Facility, the Federated</w:t>
      </w:r>
      <w:r>
        <w:t xml:space="preserve"> </w:t>
      </w:r>
      <w:r>
        <w:t xml:space="preserve">Research Data Repository (FRDR), or NOAA’s NCEI, USGS ScienceBase, or</w:t>
      </w:r>
      <w:r>
        <w:t xml:space="preserve"> </w:t>
      </w:r>
      <w:r>
        <w:t xml:space="preserve">EMODnet</w:t>
      </w:r>
    </w:p>
    <w:p>
      <w:pPr>
        <w:pStyle w:val="Compact"/>
        <w:numPr>
          <w:ilvl w:val="0"/>
          <w:numId w:val="1016"/>
        </w:numPr>
      </w:pPr>
      <w:r>
        <w:t xml:space="preserve">TODO</w:t>
      </w:r>
    </w:p>
    <w:p>
      <w:pPr>
        <w:pStyle w:val="FirstParagraph"/>
      </w:pPr>
      <w:r>
        <w:t xml:space="preserve">5.3 Leverage the integration between GitHub and Zenodo to automate</w:t>
      </w:r>
      <w:r>
        <w:t xml:space="preserve"> </w:t>
      </w:r>
      <w:r>
        <w:t xml:space="preserve">archiving and DOI assignment, ensuring long-term data preservation.</w:t>
      </w:r>
    </w:p>
    <w:bookmarkEnd w:id="117"/>
    <w:bookmarkEnd w:id="118"/>
    <w:bookmarkStart w:id="122"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w:t>
      </w:r>
      <w:r>
        <w:t xml:space="preserve"> </w:t>
      </w:r>
      <w:r>
        <w:t xml:space="preserve">opportunities for collaboration or co-authorship. Promoting data sharing</w:t>
      </w:r>
      <w:r>
        <w:t xml:space="preserve"> </w:t>
      </w:r>
      <w:r>
        <w:t xml:space="preserve">requires both cultural and technical infrastructure. The cultural</w:t>
      </w:r>
      <w:r>
        <w:t xml:space="preserve"> </w:t>
      </w:r>
      <w:r>
        <w:t xml:space="preserve">infrastructure requires a shift towards viewing data publication as</w:t>
      </w:r>
      <w:r>
        <w:t xml:space="preserve"> </w:t>
      </w:r>
      <w:r>
        <w:t xml:space="preserve">equal in importance to article publication. The infrastructure put in</w:t>
      </w:r>
      <w:r>
        <w:t xml:space="preserve"> </w:t>
      </w:r>
      <w:r>
        <w:t xml:space="preserve">place needs to support the process of generating citation records that</w:t>
      </w:r>
      <w:r>
        <w:t xml:space="preserve"> </w:t>
      </w:r>
      <w:r>
        <w:t xml:space="preserve">give credit to all First Nations, Tribes, agencies, and organizations.</w:t>
      </w:r>
      <w:r>
        <w:t xml:space="preserve"> </w:t>
      </w:r>
      <w:r>
        <w:t xml:space="preserve">By recognizing contributions, tracking reuse, and supporting citation,</w:t>
      </w:r>
      <w:r>
        <w:t xml:space="preserve"> </w:t>
      </w:r>
      <w:r>
        <w:t xml:space="preserve">data stewards can create a system where sharing is rewarded.</w:t>
      </w:r>
    </w:p>
    <w:bookmarkStart w:id="121"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7"/>
        </w:numPr>
      </w:pPr>
      <w:r>
        <w:t xml:space="preserve">All data accessible through the</w:t>
      </w:r>
      <w:r>
        <w:t xml:space="preserve"> </w:t>
      </w:r>
      <w:hyperlink r:id="rId105">
        <w:r>
          <w:rPr>
            <w:rStyle w:val="Hyperlink"/>
          </w:rPr>
          <w:t xml:space="preserve">NPAFC data</w:t>
        </w:r>
        <w:r>
          <w:rPr>
            <w:rStyle w:val="Hyperlink"/>
          </w:rPr>
          <w:t xml:space="preserve"> </w:t>
        </w:r>
        <w:r>
          <w:rPr>
            <w:rStyle w:val="Hyperlink"/>
          </w:rPr>
          <w:t xml:space="preserve">catalogue</w:t>
        </w:r>
      </w:hyperlink>
      <w:r>
        <w:t xml:space="preserve"> </w:t>
      </w:r>
      <w:r>
        <w:t xml:space="preserve">is licenced as </w:t>
      </w:r>
      <w:r>
        <w:t xml:space="preserve"> </w:t>
      </w:r>
      <w:hyperlink r:id="rId119">
        <w:r>
          <w:rPr>
            <w:rStyle w:val="Hyperlink"/>
          </w:rPr>
          <w:t xml:space="preserve">Creative Commons</w:t>
        </w:r>
        <w:r>
          <w:rPr>
            <w:rStyle w:val="Hyperlink"/>
          </w:rPr>
          <w:t xml:space="preserve"> </w:t>
        </w:r>
        <w:r>
          <w:rPr>
            <w:rStyle w:val="Hyperlink"/>
          </w:rPr>
          <w:t xml:space="preserve">Attribution 4.0</w:t>
        </w:r>
        <w:r>
          <w:rPr>
            <w:rStyle w:val="Hyperlink"/>
          </w:rPr>
          <w:t xml:space="preserve"> </w:t>
        </w:r>
        <w:r>
          <w:rPr>
            <w:rStyle w:val="Hyperlink"/>
          </w:rPr>
          <w:t xml:space="preserve">International</w:t>
        </w:r>
      </w:hyperlink>
    </w:p>
    <w:p>
      <w:pPr>
        <w:pStyle w:val="FirstParagraph"/>
      </w:pPr>
      <w:r>
        <w:t xml:space="preserve">6.2 Provide recommended citation text and visible credit fields in</w:t>
      </w:r>
      <w:r>
        <w:t xml:space="preserve"> </w:t>
      </w:r>
      <w:r>
        <w:t xml:space="preserve">metadata</w:t>
      </w:r>
    </w:p>
    <w:p>
      <w:pPr>
        <w:pStyle w:val="BodyText"/>
      </w:pPr>
      <w:r>
        <w:t xml:space="preserve">6.3 Create summary dashboards that highlight reuse using</w:t>
      </w:r>
      <w:r>
        <w:t xml:space="preserve"> </w:t>
      </w:r>
      <w:hyperlink r:id="rId120">
        <w:r>
          <w:rPr>
            <w:rStyle w:val="Hyperlink"/>
          </w:rPr>
          <w:t xml:space="preserve">COUNTER Code</w:t>
        </w:r>
        <w:r>
          <w:rPr>
            <w:rStyle w:val="Hyperlink"/>
          </w:rPr>
          <w:t xml:space="preserve"> </w:t>
        </w:r>
        <w:r>
          <w:rPr>
            <w:rStyle w:val="Hyperlink"/>
          </w:rPr>
          <w:t xml:space="preserve">of Practice compliant metrics</w:t>
        </w:r>
      </w:hyperlink>
      <w:r>
        <w:t xml:space="preserve"> </w:t>
      </w:r>
      <w:r>
        <w:t xml:space="preserve">to track</w:t>
      </w:r>
      <w:r>
        <w:t xml:space="preserve"> </w:t>
      </w:r>
      <w:r>
        <w:t xml:space="preserve">dataset views/downloads and the DataCite APIs</w:t>
      </w:r>
    </w:p>
    <w:p>
      <w:pPr>
        <w:pStyle w:val="BodyText"/>
      </w:pPr>
      <w:r>
        <w:t xml:space="preserve">6.4 Ensure that datasets are properly cited in journal articles using in</w:t>
      </w:r>
      <w:r>
        <w:t xml:space="preserve"> </w:t>
      </w:r>
      <w:r>
        <w:t xml:space="preserve">text citations and the recommended citation in the articles list of</w:t>
      </w:r>
      <w:r>
        <w:t xml:space="preserve"> </w:t>
      </w:r>
      <w:r>
        <w:t xml:space="preserve">references, not just in a Data Availability statement</w:t>
      </w:r>
    </w:p>
    <w:p>
      <w:pPr>
        <w:pStyle w:val="Compact"/>
        <w:numPr>
          <w:ilvl w:val="0"/>
          <w:numId w:val="1018"/>
        </w:numPr>
      </w:pPr>
      <w:r>
        <w:t xml:space="preserve">In late 2024, the NPAFC began citing data sets using in-text citations</w:t>
      </w:r>
      <w:r>
        <w:t xml:space="preserve"> </w:t>
      </w:r>
      <w:r>
        <w:t xml:space="preserve">and the recommended citation in the list of references with the</w:t>
      </w:r>
      <w:r>
        <w:t xml:space="preserve"> </w:t>
      </w:r>
      <w:r>
        <w:t xml:space="preserve">publication of NPAFC Bulletin 7 titled,</w:t>
      </w:r>
      <w:r>
        <w:t xml:space="preserve"> </w:t>
      </w:r>
      <w:r>
        <w:rPr>
          <w:i/>
          <w:iCs/>
        </w:rPr>
        <w:t xml:space="preserve">Highlights of the 2022</w:t>
      </w:r>
      <w:r>
        <w:rPr>
          <w:i/>
          <w:iCs/>
        </w:rPr>
        <w:t xml:space="preserve"> </w:t>
      </w:r>
      <w:r>
        <w:rPr>
          <w:i/>
          <w:iCs/>
        </w:rPr>
        <w:t xml:space="preserve">International Year of the Salmon Pan–Pacific Winter Expedition</w:t>
      </w:r>
      <w:r>
        <w:t xml:space="preserve">.</w:t>
      </w:r>
    </w:p>
    <w:p>
      <w:pPr>
        <w:pStyle w:val="FirstParagraph"/>
      </w:pPr>
      <w:r>
        <w:t xml:space="preserve">6.5 Promote the view that well documented data publications are primary</w:t>
      </w:r>
      <w:r>
        <w:t xml:space="preserve"> </w:t>
      </w:r>
      <w:r>
        <w:t xml:space="preserve">research outputs and are significant contributions to the field</w:t>
      </w:r>
    </w:p>
    <w:bookmarkEnd w:id="121"/>
    <w:bookmarkEnd w:id="122"/>
    <w:bookmarkStart w:id="128"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w:t>
      </w:r>
      <w:r>
        <w:t xml:space="preserve"> </w:t>
      </w:r>
      <w:r>
        <w:t xml:space="preserve">and cross-ecosystem data integration is only effective if there’s</w:t>
      </w:r>
      <w:r>
        <w:t xml:space="preserve"> </w:t>
      </w:r>
      <w:r>
        <w:t xml:space="preserve">community engagement. Standards and tools must be co-developed with</w:t>
      </w:r>
      <w:r>
        <w:t xml:space="preserve"> </w:t>
      </w:r>
      <w:r>
        <w:t xml:space="preserve">their intended users using user-centred design principles (citation</w:t>
      </w:r>
      <w:r>
        <w:t xml:space="preserve"> </w:t>
      </w:r>
      <w:r>
        <w:t xml:space="preserve">required) to be effective. Engaging biologists, Indigenous stewards, and</w:t>
      </w:r>
      <w:r>
        <w:t xml:space="preserve"> </w:t>
      </w:r>
      <w:r>
        <w:t xml:space="preserve">data managers ensures relevance, usability, and long-term participation.</w:t>
      </w:r>
    </w:p>
    <w:bookmarkStart w:id="127"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23">
        <w:r>
          <w:rPr>
            <w:rStyle w:val="Hyperlink"/>
          </w:rPr>
          <w:t xml:space="preserve">Research</w:t>
        </w:r>
        <w:r>
          <w:rPr>
            <w:rStyle w:val="Hyperlink"/>
          </w:rPr>
          <w:t xml:space="preserve"> </w:t>
        </w:r>
        <w:r>
          <w:rPr>
            <w:rStyle w:val="Hyperlink"/>
          </w:rPr>
          <w:t xml:space="preserve">Data Alliance’s Salmon Research and Monitoring Interest</w:t>
        </w:r>
        <w:r>
          <w:rPr>
            <w:rStyle w:val="Hyperlink"/>
          </w:rPr>
          <w:t xml:space="preserve"> </w:t>
        </w:r>
        <w:r>
          <w:rPr>
            <w:rStyle w:val="Hyperlink"/>
          </w:rPr>
          <w:t xml:space="preserve">Group</w:t>
        </w:r>
      </w:hyperlink>
      <w:r>
        <w:t xml:space="preserve"> </w:t>
      </w:r>
    </w:p>
    <w:p>
      <w:pPr>
        <w:pStyle w:val="BodyText"/>
      </w:pPr>
      <w:r>
        <w:t xml:space="preserve">7.2 Run participatory workshops for metadata mapping and vocabulary</w:t>
      </w:r>
      <w:r>
        <w:t xml:space="preserve"> </w:t>
      </w:r>
      <w:r>
        <w:t xml:space="preserve">alignment</w:t>
      </w:r>
    </w:p>
    <w:p>
      <w:pPr>
        <w:pStyle w:val="Compact"/>
        <w:numPr>
          <w:ilvl w:val="0"/>
          <w:numId w:val="1019"/>
        </w:numPr>
      </w:pPr>
      <w:r>
        <w:t xml:space="preserve">American Fisheries Society 2025 WA-BC Chapter Annual Meeting workshop.</w:t>
      </w:r>
      <w:r>
        <w:t xml:space="preserve"> </w:t>
      </w:r>
      <w:hyperlink r:id="rId124">
        <w:r>
          <w:rPr>
            <w:rStyle w:val="Hyperlink"/>
          </w:rPr>
          <w:t xml:space="preserve">’Fishing for Clarity: Knowledge Modelling to Support</w:t>
        </w:r>
        <w:r>
          <w:rPr>
            <w:rStyle w:val="Hyperlink"/>
          </w:rPr>
          <w:t xml:space="preserve"> </w:t>
        </w:r>
        <w:r>
          <w:rPr>
            <w:rStyle w:val="Hyperlink"/>
          </w:rPr>
          <w:t xml:space="preserve">Cross-organizational Collaboration and Data Sharing about Salmon</w:t>
        </w:r>
        <w:r>
          <w:rPr>
            <w:rStyle w:val="Hyperlink"/>
          </w:rPr>
          <w:t xml:space="preserve"> </w:t>
        </w:r>
        <w:r>
          <w:rPr>
            <w:rStyle w:val="Hyperlink"/>
          </w:rPr>
          <w:t xml:space="preserve">Escapement</w:t>
        </w:r>
      </w:hyperlink>
    </w:p>
    <w:p>
      <w:pPr>
        <w:pStyle w:val="FirstParagraph"/>
      </w:pPr>
      <w:r>
        <w:t xml:space="preserve">7.3 Support and follow through on Community Engaged Research (e.g. </w:t>
      </w:r>
      <w:hyperlink r:id="rId125">
        <w:r>
          <w:rPr>
            <w:rStyle w:val="Hyperlink"/>
          </w:rPr>
          <w:t xml:space="preserve">The</w:t>
        </w:r>
        <w:r>
          <w:rPr>
            <w:rStyle w:val="Hyperlink"/>
          </w:rPr>
          <w:t xml:space="preserve"> </w:t>
        </w:r>
        <w:r>
          <w:rPr>
            <w:rStyle w:val="Hyperlink"/>
          </w:rPr>
          <w:t xml:space="preserve">Salmon Prize Project</w:t>
        </w:r>
      </w:hyperlink>
      <w:r>
        <w:t xml:space="preserve">) that provides tangible</w:t>
      </w:r>
      <w:r>
        <w:t xml:space="preserve"> </w:t>
      </w:r>
      <w:r>
        <w:t xml:space="preserve">value to the communities in which research or monitoring was conducted.</w:t>
      </w:r>
    </w:p>
    <w:p>
      <w:pPr>
        <w:pStyle w:val="BodyText"/>
      </w:pPr>
      <w:r>
        <w:rPr>
          <w:vertAlign w:val="subscript"/>
        </w:rPr>
        <w:t xml:space="preserve">Source:</w:t>
      </w:r>
      <w:r>
        <w:rPr>
          <w:vertAlign w:val="subscript"/>
        </w:rPr>
        <w:t xml:space="preserve"> </w:t>
      </w:r>
      <w:hyperlink r:id="rId126">
        <w:r>
          <w:rPr>
            <w:rStyle w:val="Hyperlink"/>
            <w:vertAlign w:val="subscript"/>
          </w:rPr>
          <w:t xml:space="preserve">Appendix 1. Real-world Example Applications of the Best Practices</w:t>
        </w:r>
      </w:hyperlink>
    </w:p>
    <w:bookmarkEnd w:id="127"/>
    <w:bookmarkEnd w:id="128"/>
    <w:bookmarkEnd w:id="129"/>
    <w:bookmarkEnd w:id="130"/>
    <w:bookmarkStart w:id="169" w:name="section-1"/>
    <w:p>
      <w:pPr>
        <w:pStyle w:val="Heading1"/>
      </w:pPr>
    </w:p>
    <w:bookmarkStart w:id="168" w:name="X6e6a8091e64360c7c796e20e8600d9ec04d00d2"/>
    <w:p>
      <w:pPr>
        <w:pStyle w:val="Heading2"/>
      </w:pPr>
      <w:r>
        <w:t xml:space="preserve">Appendix 2: Training Roadmap for Salmon Biologists Transitioning to Data Stewardship</w:t>
      </w:r>
    </w:p>
    <w:p>
      <w:pPr>
        <w:pStyle w:val="FirstParagraph"/>
      </w:pPr>
      <w:r>
        <w:t xml:space="preserve">This roadmap outlines essential topics, resources, and learning</w:t>
      </w:r>
      <w:r>
        <w:t xml:space="preserve"> </w:t>
      </w:r>
      <w:r>
        <w:t xml:space="preserve">materials salmon biologists should engage with to effectively transition</w:t>
      </w:r>
      <w:r>
        <w:t xml:space="preserve"> </w:t>
      </w:r>
      <w:r>
        <w:t xml:space="preserve">into data stewardship roles. The roadmap follows a structured</w:t>
      </w:r>
      <w:r>
        <w:t xml:space="preserve"> </w:t>
      </w:r>
      <w:r>
        <w:t xml:space="preserve">progression similar to</w:t>
      </w:r>
      <w:r>
        <w:t xml:space="preserve"> </w:t>
      </w:r>
      <w:hyperlink r:id="rId131">
        <w:r>
          <w:rPr>
            <w:rStyle w:val="Hyperlink"/>
          </w:rPr>
          <w:t xml:space="preserve">roadmap.sh</w:t>
        </w:r>
      </w:hyperlink>
      <w:r>
        <w:t xml:space="preserve">.</w:t>
      </w:r>
    </w:p>
    <w:bookmarkStart w:id="135" w:name="foundations-of-data-stewardship"/>
    <w:p>
      <w:pPr>
        <w:pStyle w:val="Heading3"/>
      </w:pPr>
      <w:r>
        <w:t xml:space="preserve">1. Foundations of Data Stewardship</w:t>
      </w:r>
    </w:p>
    <w:p>
      <w:pPr>
        <w:pStyle w:val="Compact"/>
        <w:numPr>
          <w:ilvl w:val="0"/>
          <w:numId w:val="1020"/>
        </w:numPr>
      </w:pPr>
      <w:r>
        <w:rPr>
          <w:b/>
          <w:bCs/>
        </w:rPr>
        <w:t xml:space="preserve">Principles:</w:t>
      </w:r>
    </w:p>
    <w:p>
      <w:pPr>
        <w:pStyle w:val="Compact"/>
        <w:numPr>
          <w:ilvl w:val="1"/>
          <w:numId w:val="1021"/>
        </w:numPr>
      </w:pPr>
      <w:hyperlink r:id="rId132">
        <w:r>
          <w:rPr>
            <w:rStyle w:val="Hyperlink"/>
          </w:rPr>
          <w:t xml:space="preserve">FAIR Data Principles</w:t>
        </w:r>
      </w:hyperlink>
    </w:p>
    <w:p>
      <w:pPr>
        <w:pStyle w:val="Compact"/>
        <w:numPr>
          <w:ilvl w:val="1"/>
          <w:numId w:val="1021"/>
        </w:numPr>
      </w:pPr>
      <w:hyperlink r:id="rId133">
        <w:r>
          <w:rPr>
            <w:rStyle w:val="Hyperlink"/>
          </w:rPr>
          <w:t xml:space="preserve">CARE Principles for Indigenous Data</w:t>
        </w:r>
        <w:r>
          <w:rPr>
            <w:rStyle w:val="Hyperlink"/>
          </w:rPr>
          <w:t xml:space="preserve"> </w:t>
        </w:r>
        <w:r>
          <w:rPr>
            <w:rStyle w:val="Hyperlink"/>
          </w:rPr>
          <w:t xml:space="preserve">Governance</w:t>
        </w:r>
      </w:hyperlink>
    </w:p>
    <w:p>
      <w:pPr>
        <w:pStyle w:val="Compact"/>
        <w:numPr>
          <w:ilvl w:val="0"/>
          <w:numId w:val="1020"/>
        </w:numPr>
      </w:pPr>
      <w:r>
        <w:rPr>
          <w:b/>
          <w:bCs/>
        </w:rPr>
        <w:t xml:space="preserve">Seminal Papers:</w:t>
      </w:r>
    </w:p>
    <w:p>
      <w:pPr>
        <w:pStyle w:val="Compact"/>
        <w:numPr>
          <w:ilvl w:val="1"/>
          <w:numId w:val="1022"/>
        </w:numPr>
      </w:pPr>
      <w:r>
        <w:t xml:space="preserve">Wilkinson et al. 2016</w:t>
      </w:r>
      <w:r>
        <w:t xml:space="preserve"> </w:t>
      </w:r>
      <w:hyperlink r:id="rId85">
        <w:r>
          <w:rPr>
            <w:rStyle w:val="Hyperlink"/>
          </w:rPr>
          <w:t xml:space="preserve">FAIR Guiding</w:t>
        </w:r>
        <w:r>
          <w:rPr>
            <w:rStyle w:val="Hyperlink"/>
          </w:rPr>
          <w:t xml:space="preserve"> </w:t>
        </w:r>
        <w:r>
          <w:rPr>
            <w:rStyle w:val="Hyperlink"/>
          </w:rPr>
          <w:t xml:space="preserve">Principles</w:t>
        </w:r>
      </w:hyperlink>
    </w:p>
    <w:p>
      <w:pPr>
        <w:pStyle w:val="Compact"/>
        <w:numPr>
          <w:ilvl w:val="1"/>
          <w:numId w:val="1022"/>
        </w:numPr>
      </w:pPr>
      <w:r>
        <w:t xml:space="preserve">Carroll et al. 2019</w:t>
      </w:r>
      <w:r>
        <w:t xml:space="preserve"> </w:t>
      </w:r>
      <w:hyperlink r:id="rId43">
        <w:r>
          <w:rPr>
            <w:rStyle w:val="Hyperlink"/>
          </w:rPr>
          <w:t xml:space="preserve">Indigenous Data</w:t>
        </w:r>
        <w:r>
          <w:rPr>
            <w:rStyle w:val="Hyperlink"/>
          </w:rPr>
          <w:t xml:space="preserve"> </w:t>
        </w:r>
        <w:r>
          <w:rPr>
            <w:rStyle w:val="Hyperlink"/>
          </w:rPr>
          <w:t xml:space="preserve">Governance</w:t>
        </w:r>
      </w:hyperlink>
    </w:p>
    <w:p>
      <w:pPr>
        <w:pStyle w:val="Compact"/>
        <w:numPr>
          <w:ilvl w:val="0"/>
          <w:numId w:val="1020"/>
        </w:numPr>
      </w:pPr>
      <w:r>
        <w:rPr>
          <w:b/>
          <w:bCs/>
        </w:rPr>
        <w:t xml:space="preserve">Courses and Tutorials:</w:t>
      </w:r>
    </w:p>
    <w:p>
      <w:pPr>
        <w:pStyle w:val="Compact"/>
        <w:numPr>
          <w:ilvl w:val="1"/>
          <w:numId w:val="1023"/>
        </w:numPr>
      </w:pPr>
      <w:hyperlink r:id="rId134">
        <w:r>
          <w:rPr>
            <w:rStyle w:val="Hyperlink"/>
          </w:rPr>
          <w:t xml:space="preserve">FAIR Principles Explained</w:t>
        </w:r>
        <w:r>
          <w:rPr>
            <w:rStyle w:val="Hyperlink"/>
          </w:rPr>
          <w:t xml:space="preserve"> </w:t>
        </w:r>
        <w:r>
          <w:rPr>
            <w:rStyle w:val="Hyperlink"/>
          </w:rPr>
          <w:t xml:space="preserve">(GO-FAIR)</w:t>
        </w:r>
      </w:hyperlink>
    </w:p>
    <w:bookmarkEnd w:id="135"/>
    <w:bookmarkStart w:id="138" w:name="data-management-governance"/>
    <w:p>
      <w:pPr>
        <w:pStyle w:val="Heading3"/>
      </w:pPr>
      <w:r>
        <w:t xml:space="preserve">2. Data Management &amp; Governance</w:t>
      </w:r>
    </w:p>
    <w:p>
      <w:pPr>
        <w:pStyle w:val="Compact"/>
        <w:numPr>
          <w:ilvl w:val="0"/>
          <w:numId w:val="1024"/>
        </w:numPr>
      </w:pPr>
      <w:r>
        <w:rPr>
          <w:b/>
          <w:bCs/>
        </w:rPr>
        <w:t xml:space="preserve">Seminal Papers and Reports:</w:t>
      </w:r>
    </w:p>
    <w:p>
      <w:pPr>
        <w:pStyle w:val="Compact"/>
        <w:numPr>
          <w:ilvl w:val="1"/>
          <w:numId w:val="1025"/>
        </w:numPr>
      </w:pPr>
      <w:r>
        <w:t xml:space="preserve">Plotkin, 2014</w:t>
      </w:r>
      <w:r>
        <w:t xml:space="preserve"> </w:t>
      </w:r>
      <w:hyperlink r:id="rId75">
        <w:r>
          <w:rPr>
            <w:rStyle w:val="Hyperlink"/>
          </w:rPr>
          <w:t xml:space="preserve">Data</w:t>
        </w:r>
        <w:r>
          <w:rPr>
            <w:rStyle w:val="Hyperlink"/>
          </w:rPr>
          <w:t xml:space="preserve"> </w:t>
        </w:r>
        <w:r>
          <w:rPr>
            <w:rStyle w:val="Hyperlink"/>
          </w:rPr>
          <w:t xml:space="preserve">Stewardship</w:t>
        </w:r>
      </w:hyperlink>
    </w:p>
    <w:p>
      <w:pPr>
        <w:pStyle w:val="Compact"/>
        <w:numPr>
          <w:ilvl w:val="1"/>
          <w:numId w:val="1025"/>
        </w:numPr>
      </w:pPr>
      <w:r>
        <w:t xml:space="preserve">NOAA, 2007</w:t>
      </w:r>
      <w:r>
        <w:t xml:space="preserve"> </w:t>
      </w:r>
      <w:hyperlink r:id="rId67">
        <w:r>
          <w:rPr>
            <w:rStyle w:val="Hyperlink"/>
          </w:rPr>
          <w:t xml:space="preserve">Environmental Data</w:t>
        </w:r>
        <w:r>
          <w:rPr>
            <w:rStyle w:val="Hyperlink"/>
          </w:rPr>
          <w:t xml:space="preserve"> </w:t>
        </w:r>
        <w:r>
          <w:rPr>
            <w:rStyle w:val="Hyperlink"/>
          </w:rPr>
          <w:t xml:space="preserve">Management</w:t>
        </w:r>
      </w:hyperlink>
    </w:p>
    <w:p>
      <w:pPr>
        <w:pStyle w:val="Compact"/>
        <w:numPr>
          <w:ilvl w:val="0"/>
          <w:numId w:val="1024"/>
        </w:numPr>
      </w:pPr>
      <w:r>
        <w:rPr>
          <w:b/>
          <w:bCs/>
        </w:rPr>
        <w:t xml:space="preserve">Practical Tools:</w:t>
      </w:r>
    </w:p>
    <w:p>
      <w:pPr>
        <w:pStyle w:val="Compact"/>
        <w:numPr>
          <w:ilvl w:val="1"/>
          <w:numId w:val="1026"/>
        </w:numPr>
      </w:pPr>
      <w:r>
        <w:t xml:space="preserve">Data Management Plan Templates (</w:t>
      </w:r>
      <w:hyperlink r:id="rId136">
        <w:r>
          <w:rPr>
            <w:rStyle w:val="Hyperlink"/>
          </w:rPr>
          <w:t xml:space="preserve">DMPTool</w:t>
        </w:r>
      </w:hyperlink>
      <w:r>
        <w:t xml:space="preserve">)</w:t>
      </w:r>
    </w:p>
    <w:p>
      <w:pPr>
        <w:pStyle w:val="Compact"/>
        <w:numPr>
          <w:ilvl w:val="1"/>
          <w:numId w:val="1026"/>
        </w:numPr>
      </w:pPr>
      <w:r>
        <w:t xml:space="preserve">DACI and RACI Frameworks (</w:t>
      </w:r>
      <w:hyperlink r:id="rId137">
        <w:r>
          <w:rPr>
            <w:rStyle w:val="Hyperlink"/>
          </w:rPr>
          <w:t xml:space="preserve">Atlassian DACI</w:t>
        </w:r>
        <w:r>
          <w:rPr>
            <w:rStyle w:val="Hyperlink"/>
          </w:rPr>
          <w:t xml:space="preserve"> </w:t>
        </w:r>
        <w:r>
          <w:rPr>
            <w:rStyle w:val="Hyperlink"/>
          </w:rPr>
          <w:t xml:space="preserve">Guide</w:t>
        </w:r>
      </w:hyperlink>
      <w:r>
        <w:t xml:space="preserve">)</w:t>
      </w:r>
    </w:p>
    <w:bookmarkEnd w:id="138"/>
    <w:bookmarkStart w:id="143" w:name="metadata-standards-and-ontologies"/>
    <w:p>
      <w:pPr>
        <w:pStyle w:val="Heading3"/>
      </w:pPr>
      <w:r>
        <w:t xml:space="preserve">3. Metadata Standards and Ontologies</w:t>
      </w:r>
    </w:p>
    <w:p>
      <w:pPr>
        <w:pStyle w:val="Compact"/>
        <w:numPr>
          <w:ilvl w:val="0"/>
          <w:numId w:val="1027"/>
        </w:numPr>
      </w:pPr>
      <w:r>
        <w:rPr>
          <w:b/>
          <w:bCs/>
        </w:rPr>
        <w:t xml:space="preserve">Standards to Master:</w:t>
      </w:r>
    </w:p>
    <w:p>
      <w:pPr>
        <w:pStyle w:val="Compact"/>
        <w:numPr>
          <w:ilvl w:val="1"/>
          <w:numId w:val="1028"/>
        </w:numPr>
      </w:pPr>
      <w:hyperlink r:id="rId139">
        <w:r>
          <w:rPr>
            <w:rStyle w:val="Hyperlink"/>
          </w:rPr>
          <w:t xml:space="preserve">ISO 19115 Metadata</w:t>
        </w:r>
        <w:r>
          <w:rPr>
            <w:rStyle w:val="Hyperlink"/>
          </w:rPr>
          <w:t xml:space="preserve"> </w:t>
        </w:r>
        <w:r>
          <w:rPr>
            <w:rStyle w:val="Hyperlink"/>
          </w:rPr>
          <w:t xml:space="preserve">Standard</w:t>
        </w:r>
      </w:hyperlink>
    </w:p>
    <w:p>
      <w:pPr>
        <w:pStyle w:val="Compact"/>
        <w:numPr>
          <w:ilvl w:val="1"/>
          <w:numId w:val="1028"/>
        </w:numPr>
      </w:pPr>
      <w:hyperlink r:id="rId140">
        <w:r>
          <w:rPr>
            <w:rStyle w:val="Hyperlink"/>
          </w:rPr>
          <w:t xml:space="preserve">Ecological Metadata Language</w:t>
        </w:r>
        <w:r>
          <w:rPr>
            <w:rStyle w:val="Hyperlink"/>
          </w:rPr>
          <w:t xml:space="preserve"> </w:t>
        </w:r>
        <w:r>
          <w:rPr>
            <w:rStyle w:val="Hyperlink"/>
          </w:rPr>
          <w:t xml:space="preserve">(EML)</w:t>
        </w:r>
      </w:hyperlink>
    </w:p>
    <w:p>
      <w:pPr>
        <w:pStyle w:val="Compact"/>
        <w:numPr>
          <w:ilvl w:val="1"/>
          <w:numId w:val="1028"/>
        </w:numPr>
      </w:pPr>
      <w:hyperlink r:id="rId108">
        <w:r>
          <w:rPr>
            <w:rStyle w:val="Hyperlink"/>
          </w:rPr>
          <w:t xml:space="preserve">Darwin Core Standard</w:t>
        </w:r>
      </w:hyperlink>
    </w:p>
    <w:p>
      <w:pPr>
        <w:pStyle w:val="Compact"/>
        <w:numPr>
          <w:ilvl w:val="0"/>
          <w:numId w:val="1027"/>
        </w:numPr>
      </w:pPr>
      <w:r>
        <w:rPr>
          <w:b/>
          <w:bCs/>
        </w:rPr>
        <w:t xml:space="preserve">Case Studies &amp; Examples:</w:t>
      </w:r>
    </w:p>
    <w:p>
      <w:pPr>
        <w:pStyle w:val="Compact"/>
        <w:numPr>
          <w:ilvl w:val="1"/>
          <w:numId w:val="1029"/>
        </w:numPr>
      </w:pPr>
      <w:hyperlink r:id="rId141">
        <w:r>
          <w:rPr>
            <w:rStyle w:val="Hyperlink"/>
          </w:rPr>
          <w:t xml:space="preserve">Pacific Salmon Foundation Metadata</w:t>
        </w:r>
        <w:r>
          <w:rPr>
            <w:rStyle w:val="Hyperlink"/>
          </w:rPr>
          <w:t xml:space="preserve"> </w:t>
        </w:r>
        <w:r>
          <w:rPr>
            <w:rStyle w:val="Hyperlink"/>
          </w:rPr>
          <w:t xml:space="preserve">Standards</w:t>
        </w:r>
      </w:hyperlink>
    </w:p>
    <w:p>
      <w:pPr>
        <w:pStyle w:val="Compact"/>
        <w:numPr>
          <w:ilvl w:val="1"/>
          <w:numId w:val="1029"/>
        </w:numPr>
      </w:pPr>
      <w:hyperlink r:id="rId142">
        <w:r>
          <w:rPr>
            <w:rStyle w:val="Hyperlink"/>
          </w:rPr>
          <w:t xml:space="preserve">Hakai Institute Juvenile Salmon</w:t>
        </w:r>
        <w:r>
          <w:rPr>
            <w:rStyle w:val="Hyperlink"/>
          </w:rPr>
          <w:t xml:space="preserve"> </w:t>
        </w:r>
        <w:r>
          <w:rPr>
            <w:rStyle w:val="Hyperlink"/>
          </w:rPr>
          <w:t xml:space="preserve">Program</w:t>
        </w:r>
      </w:hyperlink>
    </w:p>
    <w:bookmarkEnd w:id="143"/>
    <w:bookmarkStart w:id="148" w:name="Xf6eb9f702153c308c8ac6b6a9da7e4d876107cd"/>
    <w:p>
      <w:pPr>
        <w:pStyle w:val="Heading3"/>
      </w:pPr>
      <w:r>
        <w:t xml:space="preserve">4. Controlled Vocabularies &amp; Persistent Identifiers (PIDs)</w:t>
      </w:r>
    </w:p>
    <w:p>
      <w:pPr>
        <w:pStyle w:val="Compact"/>
        <w:numPr>
          <w:ilvl w:val="0"/>
          <w:numId w:val="1030"/>
        </w:numPr>
      </w:pPr>
      <w:r>
        <w:rPr>
          <w:b/>
          <w:bCs/>
        </w:rPr>
        <w:t xml:space="preserve">PIDs to Implement:</w:t>
      </w:r>
    </w:p>
    <w:p>
      <w:pPr>
        <w:pStyle w:val="Compact"/>
        <w:numPr>
          <w:ilvl w:val="1"/>
          <w:numId w:val="1031"/>
        </w:numPr>
      </w:pPr>
      <w:hyperlink r:id="rId144">
        <w:r>
          <w:rPr>
            <w:rStyle w:val="Hyperlink"/>
          </w:rPr>
          <w:t xml:space="preserve">DOIs via DataCite</w:t>
        </w:r>
      </w:hyperlink>
    </w:p>
    <w:p>
      <w:pPr>
        <w:pStyle w:val="Compact"/>
        <w:numPr>
          <w:ilvl w:val="1"/>
          <w:numId w:val="1031"/>
        </w:numPr>
      </w:pPr>
      <w:hyperlink r:id="rId145">
        <w:r>
          <w:rPr>
            <w:rStyle w:val="Hyperlink"/>
          </w:rPr>
          <w:t xml:space="preserve">ORCID IDs</w:t>
        </w:r>
      </w:hyperlink>
    </w:p>
    <w:p>
      <w:pPr>
        <w:pStyle w:val="Compact"/>
        <w:numPr>
          <w:ilvl w:val="1"/>
          <w:numId w:val="1031"/>
        </w:numPr>
      </w:pPr>
      <w:hyperlink r:id="rId146">
        <w:r>
          <w:rPr>
            <w:rStyle w:val="Hyperlink"/>
          </w:rPr>
          <w:t xml:space="preserve">Research Organization Registry (ROR)</w:t>
        </w:r>
      </w:hyperlink>
    </w:p>
    <w:p>
      <w:pPr>
        <w:pStyle w:val="Compact"/>
        <w:numPr>
          <w:ilvl w:val="0"/>
          <w:numId w:val="1030"/>
        </w:numPr>
      </w:pPr>
      <w:r>
        <w:rPr>
          <w:b/>
          <w:bCs/>
        </w:rPr>
        <w:t xml:space="preserve">Practical Guides:</w:t>
      </w:r>
    </w:p>
    <w:p>
      <w:pPr>
        <w:pStyle w:val="Compact"/>
        <w:numPr>
          <w:ilvl w:val="1"/>
          <w:numId w:val="1032"/>
        </w:numPr>
      </w:pPr>
      <w:hyperlink r:id="rId147">
        <w:r>
          <w:rPr>
            <w:rStyle w:val="Hyperlink"/>
          </w:rPr>
          <w:t xml:space="preserve">Introduction to PIDs (DataCite Blog)</w:t>
        </w:r>
      </w:hyperlink>
    </w:p>
    <w:bookmarkEnd w:id="148"/>
    <w:bookmarkStart w:id="153" w:name="data-integration-interoperability"/>
    <w:p>
      <w:pPr>
        <w:pStyle w:val="Heading3"/>
      </w:pPr>
      <w:r>
        <w:t xml:space="preserve">5. Data Integration &amp; Interoperability</w:t>
      </w:r>
    </w:p>
    <w:p>
      <w:pPr>
        <w:pStyle w:val="Compact"/>
        <w:numPr>
          <w:ilvl w:val="0"/>
          <w:numId w:val="1033"/>
        </w:numPr>
      </w:pPr>
      <w:r>
        <w:rPr>
          <w:b/>
          <w:bCs/>
        </w:rPr>
        <w:t xml:space="preserve">Seminal Papers:</w:t>
      </w:r>
    </w:p>
    <w:p>
      <w:pPr>
        <w:pStyle w:val="Compact"/>
        <w:numPr>
          <w:ilvl w:val="1"/>
          <w:numId w:val="1034"/>
        </w:numPr>
      </w:pPr>
      <w:r>
        <w:t xml:space="preserve">Johnson &amp; Stap, 2024</w:t>
      </w:r>
      <w:r>
        <w:t xml:space="preserve"> </w:t>
      </w:r>
      <w:hyperlink r:id="rId57">
        <w:r>
          <w:rPr>
            <w:rStyle w:val="Hyperlink"/>
          </w:rPr>
          <w:t xml:space="preserve">Salmon Ocean Observing</w:t>
        </w:r>
        <w:r>
          <w:rPr>
            <w:rStyle w:val="Hyperlink"/>
          </w:rPr>
          <w:t xml:space="preserve"> </w:t>
        </w:r>
        <w:r>
          <w:rPr>
            <w:rStyle w:val="Hyperlink"/>
          </w:rPr>
          <w:t xml:space="preserve">System</w:t>
        </w:r>
      </w:hyperlink>
    </w:p>
    <w:p>
      <w:pPr>
        <w:pStyle w:val="Compact"/>
        <w:numPr>
          <w:ilvl w:val="1"/>
          <w:numId w:val="1034"/>
        </w:numPr>
      </w:pPr>
      <w:r>
        <w:t xml:space="preserve">Bull et al. 2022</w:t>
      </w:r>
      <w:r>
        <w:t xml:space="preserve"> </w:t>
      </w:r>
      <w:hyperlink r:id="rId39">
        <w:r>
          <w:rPr>
            <w:rStyle w:val="Hyperlink"/>
          </w:rPr>
          <w:t xml:space="preserve">Likely Suspects</w:t>
        </w:r>
        <w:r>
          <w:rPr>
            <w:rStyle w:val="Hyperlink"/>
          </w:rPr>
          <w:t xml:space="preserve"> </w:t>
        </w:r>
        <w:r>
          <w:rPr>
            <w:rStyle w:val="Hyperlink"/>
          </w:rPr>
          <w:t xml:space="preserve">Framework</w:t>
        </w:r>
      </w:hyperlink>
    </w:p>
    <w:p>
      <w:pPr>
        <w:pStyle w:val="Compact"/>
        <w:numPr>
          <w:ilvl w:val="0"/>
          <w:numId w:val="1033"/>
        </w:numPr>
      </w:pPr>
      <w:r>
        <w:rPr>
          <w:b/>
          <w:bCs/>
        </w:rPr>
        <w:t xml:space="preserve">Technical Skills &amp; Tools:</w:t>
      </w:r>
    </w:p>
    <w:p>
      <w:pPr>
        <w:pStyle w:val="Compact"/>
        <w:numPr>
          <w:ilvl w:val="1"/>
          <w:numId w:val="1035"/>
        </w:numPr>
      </w:pPr>
      <w:r>
        <w:t xml:space="preserve">APIs with</w:t>
      </w:r>
      <w:r>
        <w:t xml:space="preserve"> </w:t>
      </w:r>
      <w:hyperlink r:id="rId149">
        <w:r>
          <w:rPr>
            <w:rStyle w:val="Hyperlink"/>
          </w:rPr>
          <w:t xml:space="preserve">FastAPI</w:t>
        </w:r>
      </w:hyperlink>
      <w:r>
        <w:t xml:space="preserve">,</w:t>
      </w:r>
      <w:r>
        <w:t xml:space="preserve"> </w:t>
      </w:r>
      <w:hyperlink r:id="rId150">
        <w:r>
          <w:rPr>
            <w:rStyle w:val="Hyperlink"/>
          </w:rPr>
          <w:t xml:space="preserve">Flask</w:t>
        </w:r>
      </w:hyperlink>
      <w:r>
        <w:t xml:space="preserve">,</w:t>
      </w:r>
      <w:r>
        <w:t xml:space="preserve"> </w:t>
      </w:r>
      <w:hyperlink r:id="rId151">
        <w:r>
          <w:rPr>
            <w:rStyle w:val="Hyperlink"/>
          </w:rPr>
          <w:t xml:space="preserve">Django REST</w:t>
        </w:r>
        <w:r>
          <w:rPr>
            <w:rStyle w:val="Hyperlink"/>
          </w:rPr>
          <w:t xml:space="preserve"> </w:t>
        </w:r>
        <w:r>
          <w:rPr>
            <w:rStyle w:val="Hyperlink"/>
          </w:rPr>
          <w:t xml:space="preserve">Framework</w:t>
        </w:r>
      </w:hyperlink>
    </w:p>
    <w:p>
      <w:pPr>
        <w:pStyle w:val="Compact"/>
        <w:numPr>
          <w:ilvl w:val="1"/>
          <w:numId w:val="1035"/>
        </w:numPr>
      </w:pPr>
      <w:hyperlink r:id="rId152">
        <w:r>
          <w:rPr>
            <w:rStyle w:val="Hyperlink"/>
          </w:rPr>
          <w:t xml:space="preserve">Zenodo-GitHub</w:t>
        </w:r>
        <w:r>
          <w:rPr>
            <w:rStyle w:val="Hyperlink"/>
          </w:rPr>
          <w:t xml:space="preserve"> </w:t>
        </w:r>
        <w:r>
          <w:rPr>
            <w:rStyle w:val="Hyperlink"/>
          </w:rPr>
          <w:t xml:space="preserve">Integration</w:t>
        </w:r>
      </w:hyperlink>
    </w:p>
    <w:bookmarkEnd w:id="153"/>
    <w:bookmarkStart w:id="157" w:name="data-sharing-citation-metrics"/>
    <w:p>
      <w:pPr>
        <w:pStyle w:val="Heading3"/>
      </w:pPr>
      <w:r>
        <w:t xml:space="preserve">6. Data Sharing, Citation &amp; Metrics</w:t>
      </w:r>
    </w:p>
    <w:p>
      <w:pPr>
        <w:pStyle w:val="Compact"/>
        <w:numPr>
          <w:ilvl w:val="0"/>
          <w:numId w:val="1036"/>
        </w:numPr>
      </w:pPr>
      <w:r>
        <w:rPr>
          <w:b/>
          <w:bCs/>
        </w:rPr>
        <w:t xml:space="preserve">Best Practices:</w:t>
      </w:r>
    </w:p>
    <w:p>
      <w:pPr>
        <w:pStyle w:val="Compact"/>
        <w:numPr>
          <w:ilvl w:val="1"/>
          <w:numId w:val="1037"/>
        </w:numPr>
      </w:pPr>
      <w:hyperlink r:id="rId154">
        <w:r>
          <w:rPr>
            <w:rStyle w:val="Hyperlink"/>
          </w:rPr>
          <w:t xml:space="preserve">Creative Commons Attribution 4.0 International</w:t>
        </w:r>
        <w:r>
          <w:rPr>
            <w:rStyle w:val="Hyperlink"/>
          </w:rPr>
          <w:t xml:space="preserve"> </w:t>
        </w:r>
        <w:r>
          <w:rPr>
            <w:rStyle w:val="Hyperlink"/>
          </w:rPr>
          <w:t xml:space="preserve">License</w:t>
        </w:r>
      </w:hyperlink>
    </w:p>
    <w:p>
      <w:pPr>
        <w:pStyle w:val="Compact"/>
        <w:numPr>
          <w:ilvl w:val="0"/>
          <w:numId w:val="1036"/>
        </w:numPr>
      </w:pPr>
      <w:r>
        <w:rPr>
          <w:b/>
          <w:bCs/>
        </w:rPr>
        <w:t xml:space="preserve">Tracking &amp; Metrics:</w:t>
      </w:r>
    </w:p>
    <w:p>
      <w:pPr>
        <w:pStyle w:val="Compact"/>
        <w:numPr>
          <w:ilvl w:val="1"/>
          <w:numId w:val="1038"/>
        </w:numPr>
      </w:pPr>
      <w:hyperlink r:id="rId155">
        <w:r>
          <w:rPr>
            <w:rStyle w:val="Hyperlink"/>
          </w:rPr>
          <w:t xml:space="preserve">COUNTER Metrics</w:t>
        </w:r>
      </w:hyperlink>
    </w:p>
    <w:p>
      <w:pPr>
        <w:pStyle w:val="Compact"/>
        <w:numPr>
          <w:ilvl w:val="1"/>
          <w:numId w:val="1038"/>
        </w:numPr>
      </w:pPr>
      <w:hyperlink r:id="rId156">
        <w:r>
          <w:rPr>
            <w:rStyle w:val="Hyperlink"/>
          </w:rPr>
          <w:t xml:space="preserve">DataCite API</w:t>
        </w:r>
      </w:hyperlink>
    </w:p>
    <w:bookmarkEnd w:id="157"/>
    <w:bookmarkStart w:id="161" w:name="community-engagement-co-development"/>
    <w:p>
      <w:pPr>
        <w:pStyle w:val="Heading3"/>
      </w:pPr>
      <w:r>
        <w:t xml:space="preserve">7. Community Engagement &amp; Co-Development</w:t>
      </w:r>
    </w:p>
    <w:p>
      <w:pPr>
        <w:pStyle w:val="Compact"/>
        <w:numPr>
          <w:ilvl w:val="0"/>
          <w:numId w:val="1039"/>
        </w:numPr>
      </w:pPr>
      <w:r>
        <w:rPr>
          <w:b/>
          <w:bCs/>
        </w:rPr>
        <w:t xml:space="preserve">Communities &amp; Groups:</w:t>
      </w:r>
    </w:p>
    <w:p>
      <w:pPr>
        <w:pStyle w:val="Compact"/>
        <w:numPr>
          <w:ilvl w:val="1"/>
          <w:numId w:val="1040"/>
        </w:numPr>
      </w:pPr>
      <w:hyperlink r:id="rId158">
        <w:r>
          <w:rPr>
            <w:rStyle w:val="Hyperlink"/>
          </w:rPr>
          <w:t xml:space="preserve">Research Data Alliance Salmon Research</w:t>
        </w:r>
        <w:r>
          <w:rPr>
            <w:rStyle w:val="Hyperlink"/>
          </w:rPr>
          <w:t xml:space="preserve"> </w:t>
        </w:r>
        <w:r>
          <w:rPr>
            <w:rStyle w:val="Hyperlink"/>
          </w:rPr>
          <w:t xml:space="preserve">Group</w:t>
        </w:r>
      </w:hyperlink>
    </w:p>
    <w:p>
      <w:pPr>
        <w:pStyle w:val="Compact"/>
        <w:numPr>
          <w:ilvl w:val="0"/>
          <w:numId w:val="1039"/>
        </w:numPr>
      </w:pPr>
      <w:r>
        <w:rPr>
          <w:b/>
          <w:bCs/>
        </w:rPr>
        <w:t xml:space="preserve">Approaches &amp; Frameworks:</w:t>
      </w:r>
    </w:p>
    <w:p>
      <w:pPr>
        <w:pStyle w:val="Compact"/>
        <w:numPr>
          <w:ilvl w:val="1"/>
          <w:numId w:val="1041"/>
        </w:numPr>
      </w:pPr>
      <w:r>
        <w:t xml:space="preserve">User-centered Design (</w:t>
      </w:r>
      <w:hyperlink r:id="rId159">
        <w:r>
          <w:rPr>
            <w:rStyle w:val="Hyperlink"/>
          </w:rPr>
          <w:t xml:space="preserve">Interaction Design</w:t>
        </w:r>
        <w:r>
          <w:rPr>
            <w:rStyle w:val="Hyperlink"/>
          </w:rPr>
          <w:t xml:space="preserve"> </w:t>
        </w:r>
        <w:r>
          <w:rPr>
            <w:rStyle w:val="Hyperlink"/>
          </w:rPr>
          <w:t xml:space="preserve">Foundation</w:t>
        </w:r>
      </w:hyperlink>
      <w:r>
        <w:t xml:space="preserve">)</w:t>
      </w:r>
    </w:p>
    <w:p>
      <w:pPr>
        <w:pStyle w:val="Compact"/>
        <w:numPr>
          <w:ilvl w:val="1"/>
          <w:numId w:val="1041"/>
        </w:numPr>
      </w:pPr>
      <w:r>
        <w:t xml:space="preserve">Community Engaged Research (</w:t>
      </w:r>
      <w:hyperlink r:id="rId160">
        <w:r>
          <w:rPr>
            <w:rStyle w:val="Hyperlink"/>
          </w:rPr>
          <w:t xml:space="preserve">University of Victoria</w:t>
        </w:r>
        <w:r>
          <w:rPr>
            <w:rStyle w:val="Hyperlink"/>
          </w:rPr>
          <w:t xml:space="preserve"> </w:t>
        </w:r>
        <w:r>
          <w:rPr>
            <w:rStyle w:val="Hyperlink"/>
          </w:rPr>
          <w:t xml:space="preserve">Guide</w:t>
        </w:r>
      </w:hyperlink>
      <w:r>
        <w:t xml:space="preserve">)</w:t>
      </w:r>
    </w:p>
    <w:bookmarkEnd w:id="161"/>
    <w:bookmarkStart w:id="167" w:name="additional-resources"/>
    <w:p>
      <w:pPr>
        <w:pStyle w:val="Heading3"/>
      </w:pPr>
      <w:r>
        <w:t xml:space="preserve">Additional Resources</w:t>
      </w:r>
    </w:p>
    <w:p>
      <w:pPr>
        <w:pStyle w:val="Compact"/>
        <w:numPr>
          <w:ilvl w:val="0"/>
          <w:numId w:val="1042"/>
        </w:numPr>
      </w:pPr>
      <w:r>
        <w:rPr>
          <w:b/>
          <w:bCs/>
        </w:rPr>
        <w:t xml:space="preserve">Free Courses:</w:t>
      </w:r>
    </w:p>
    <w:p>
      <w:pPr>
        <w:pStyle w:val="Compact"/>
        <w:numPr>
          <w:ilvl w:val="1"/>
          <w:numId w:val="1043"/>
        </w:numPr>
      </w:pPr>
      <w:hyperlink r:id="rId162">
        <w:r>
          <w:rPr>
            <w:rStyle w:val="Hyperlink"/>
          </w:rPr>
          <w:t xml:space="preserve">Introduction to Open Science</w:t>
        </w:r>
        <w:r>
          <w:rPr>
            <w:rStyle w:val="Hyperlink"/>
          </w:rPr>
          <w:t xml:space="preserve"> </w:t>
        </w:r>
        <w:r>
          <w:rPr>
            <w:rStyle w:val="Hyperlink"/>
          </w:rPr>
          <w:t xml:space="preserve">(FOSTER)</w:t>
        </w:r>
      </w:hyperlink>
    </w:p>
    <w:p>
      <w:pPr>
        <w:pStyle w:val="Compact"/>
        <w:numPr>
          <w:ilvl w:val="1"/>
          <w:numId w:val="1043"/>
        </w:numPr>
      </w:pPr>
      <w:hyperlink r:id="rId163">
        <w:r>
          <w:rPr>
            <w:rStyle w:val="Hyperlink"/>
          </w:rPr>
          <w:t xml:space="preserve">Research Data Management and Sharing</w:t>
        </w:r>
        <w:r>
          <w:rPr>
            <w:rStyle w:val="Hyperlink"/>
          </w:rPr>
          <w:t xml:space="preserve"> </w:t>
        </w:r>
        <w:r>
          <w:rPr>
            <w:rStyle w:val="Hyperlink"/>
          </w:rPr>
          <w:t xml:space="preserve">(Coursera)</w:t>
        </w:r>
      </w:hyperlink>
    </w:p>
    <w:p>
      <w:pPr>
        <w:pStyle w:val="Compact"/>
        <w:numPr>
          <w:ilvl w:val="0"/>
          <w:numId w:val="1042"/>
        </w:numPr>
      </w:pPr>
      <w:r>
        <w:rPr>
          <w:b/>
          <w:bCs/>
        </w:rPr>
        <w:t xml:space="preserve">Blogs &amp; Websites:</w:t>
      </w:r>
    </w:p>
    <w:p>
      <w:pPr>
        <w:pStyle w:val="Compact"/>
        <w:numPr>
          <w:ilvl w:val="1"/>
          <w:numId w:val="1044"/>
        </w:numPr>
      </w:pPr>
      <w:hyperlink r:id="rId164">
        <w:r>
          <w:rPr>
            <w:rStyle w:val="Hyperlink"/>
          </w:rPr>
          <w:t xml:space="preserve">Open Knowledge Foundation Blog</w:t>
        </w:r>
      </w:hyperlink>
    </w:p>
    <w:p>
      <w:pPr>
        <w:pStyle w:val="Compact"/>
        <w:numPr>
          <w:ilvl w:val="1"/>
          <w:numId w:val="1044"/>
        </w:numPr>
      </w:pPr>
      <w:hyperlink r:id="rId165">
        <w:r>
          <w:rPr>
            <w:rStyle w:val="Hyperlink"/>
          </w:rPr>
          <w:t xml:space="preserve">DataONE Data Management</w:t>
        </w:r>
        <w:r>
          <w:rPr>
            <w:rStyle w:val="Hyperlink"/>
          </w:rPr>
          <w:t xml:space="preserve"> </w:t>
        </w:r>
        <w:r>
          <w:rPr>
            <w:rStyle w:val="Hyperlink"/>
          </w:rPr>
          <w:t xml:space="preserve">Resources</w:t>
        </w:r>
      </w:hyperlink>
    </w:p>
    <w:p>
      <w:pPr>
        <w:pStyle w:val="FirstParagraph"/>
      </w:pPr>
      <w:r>
        <w:t xml:space="preserve">This roadmap serves as a structured guide to equip salmon biologists</w:t>
      </w:r>
      <w:r>
        <w:t xml:space="preserve"> </w:t>
      </w:r>
      <w:r>
        <w:t xml:space="preserve">with the practical and theoretical skills required to excel in data</w:t>
      </w:r>
      <w:r>
        <w:t xml:space="preserve"> </w:t>
      </w:r>
      <w:r>
        <w:t xml:space="preserve">stewardship roles.</w:t>
      </w:r>
    </w:p>
    <w:p>
      <w:pPr>
        <w:pStyle w:val="BodyText"/>
      </w:pPr>
      <w:r>
        <w:rPr>
          <w:vertAlign w:val="subscript"/>
        </w:rPr>
        <w:t xml:space="preserve">Source:</w:t>
      </w:r>
      <w:r>
        <w:rPr>
          <w:vertAlign w:val="subscript"/>
        </w:rPr>
        <w:t xml:space="preserve"> </w:t>
      </w:r>
      <w:hyperlink r:id="rId166">
        <w:r>
          <w:rPr>
            <w:rStyle w:val="Hyperlink"/>
            <w:vertAlign w:val="subscript"/>
          </w:rPr>
          <w:t xml:space="preserve">Appendix 2: Training Roadmap for Salmon Biologists Transitioning to Data Stewardship</w:t>
        </w:r>
      </w:hyperlink>
    </w:p>
    <w:bookmarkEnd w:id="167"/>
    <w:bookmarkEnd w:id="168"/>
    <w:bookmarkEnd w:id="169"/>
    <w:bookmarkStart w:id="171" w:name="section-2"/>
    <w:p>
      <w:pPr>
        <w:pStyle w:val="Heading1"/>
      </w:pPr>
    </w:p>
    <w:bookmarkStart w:id="170" w:name="appendix-3-getting-started-checklist"/>
    <w:p>
      <w:pPr>
        <w:pStyle w:val="Heading2"/>
      </w:pPr>
      <w:r>
        <w:t xml:space="preserve">Appendix 3: Getting Started Checklist</w:t>
      </w:r>
    </w:p>
    <w:bookmarkEnd w:id="170"/>
    <w:bookmarkEnd w:id="171"/>
    <w:bookmarkStart w:id="200" w:name="X31cdfb6b2db68a917c17f8717cc4f31d422b543"/>
    <w:p>
      <w:pPr>
        <w:pStyle w:val="Heading1"/>
      </w:pPr>
      <w:r>
        <w:t xml:space="preserve">Getting Started Checklist for Salmon Data Stewardship</w:t>
      </w:r>
    </w:p>
    <w:p>
      <w:pPr>
        <w:pStyle w:val="FirstParagraph"/>
      </w:pPr>
      <w:r>
        <w:t xml:space="preserve">Use this practical checklist to assess how well your project, program,</w:t>
      </w:r>
      <w:r>
        <w:t xml:space="preserve"> </w:t>
      </w:r>
      <w:r>
        <w:t xml:space="preserve">or organization aligns to the seven Best Practices. Start at the Project</w:t>
      </w:r>
      <w:r>
        <w:t xml:space="preserve"> </w:t>
      </w:r>
      <w:r>
        <w:t xml:space="preserve">level, then scale to Program and Organization. Check off items you’ve</w:t>
      </w:r>
      <w:r>
        <w:t xml:space="preserve"> </w:t>
      </w:r>
      <w:r>
        <w:t xml:space="preserve">completed and note gaps to prioritize.</w:t>
      </w:r>
    </w:p>
    <w:p>
      <w:pPr>
        <w:pStyle w:val="BodyText"/>
      </w:pPr>
      <w:r>
        <w:t xml:space="preserve">Tip: For each item, capture a link to the living source (e.g.,</w:t>
      </w:r>
      <w:r>
        <w:t xml:space="preserve"> </w:t>
      </w:r>
      <w:r>
        <w:t xml:space="preserve">repository, shared drive, policy page) and the responsible owner.</w:t>
      </w:r>
    </w:p>
    <w:bookmarkStart w:id="175" w:name="practice-1-make-data-governance-explicit"/>
    <w:p>
      <w:pPr>
        <w:pStyle w:val="Heading2"/>
      </w:pPr>
      <w:r>
        <w:t xml:space="preserve">Practice 1 — Make Data Governance Explicit</w:t>
      </w:r>
    </w:p>
    <w:bookmarkStart w:id="172" w:name="project"/>
    <w:p>
      <w:pPr>
        <w:pStyle w:val="Heading4"/>
      </w:pPr>
      <w:r>
        <w:t xml:space="preserve">Project</w:t>
      </w:r>
    </w:p>
    <w:p>
      <w:pPr>
        <w:pStyle w:val="SourceCode"/>
      </w:pPr>
      <w:r>
        <w:rPr>
          <w:rStyle w:val="VerbatimChar"/>
        </w:rPr>
        <w:t xml:space="preserve">- [ ] Do you have a Data Management Plan (DMP) covering scope, sensitive data, retention, and sharing? (link)</w:t>
      </w:r>
      <w:r>
        <w:br/>
      </w:r>
      <w:r>
        <w:rPr>
          <w:rStyle w:val="VerbatimChar"/>
        </w:rPr>
        <w:t xml:space="preserve">- [ ] Is there a RACI (Responsible, Accountable, Consulted, Informed) table for key tasks? (owner)</w:t>
      </w:r>
      <w:r>
        <w:br/>
      </w:r>
      <w:r>
        <w:rPr>
          <w:rStyle w:val="VerbatimChar"/>
        </w:rPr>
        <w:t xml:space="preserve">- [ ] Are Indigenous knoweledge holders or community members involved in the project?</w:t>
      </w:r>
      <w:r>
        <w:br/>
      </w:r>
      <w:r>
        <w:rPr>
          <w:rStyle w:val="VerbatimChar"/>
        </w:rPr>
        <w:t xml:space="preserve">- [ ] Are Indigenous Data Sovereignty (IDS) requirements identified and documented (who to consult, approvals needed)?</w:t>
      </w:r>
      <w:r>
        <w:br/>
      </w:r>
      <w:r>
        <w:rPr>
          <w:rStyle w:val="VerbatimChar"/>
        </w:rPr>
        <w:t xml:space="preserve">- [ ] Is a data product charter written for each dataset or analysis product with purpose, audience, quality thresholds, release plan?</w:t>
      </w:r>
    </w:p>
    <w:bookmarkEnd w:id="172"/>
    <w:bookmarkStart w:id="173" w:name="program"/>
    <w:p>
      <w:pPr>
        <w:pStyle w:val="Heading4"/>
      </w:pPr>
      <w:r>
        <w:t xml:space="preserve">Program</w:t>
      </w:r>
    </w:p>
    <w:p>
      <w:pPr>
        <w:pStyle w:val="SourceCode"/>
      </w:pPr>
      <w:r>
        <w:rPr>
          <w:rStyle w:val="VerbatimChar"/>
        </w:rPr>
        <w:t xml:space="preserve">- [ ] Are DMP and charter templates standardized across projects and stored centrally?</w:t>
      </w:r>
      <w:r>
        <w:br/>
      </w:r>
      <w:r>
        <w:rPr>
          <w:rStyle w:val="VerbatimChar"/>
        </w:rPr>
        <w:t xml:space="preserve">- [ ] Are role definitions for Data Steward, Product Owner, and Maintainer explicit and assigned for priority datasets?</w:t>
      </w:r>
      <w:r>
        <w:br/>
      </w:r>
      <w:r>
        <w:rPr>
          <w:rStyle w:val="VerbatimChar"/>
        </w:rPr>
        <w:t xml:space="preserve">- [ ] Is this 'community-engaged' research that provides tangible benefit to communities?</w:t>
      </w:r>
      <w:r>
        <w:br/>
      </w:r>
      <w:r>
        <w:rPr>
          <w:rStyle w:val="VerbatimChar"/>
        </w:rPr>
        <w:t xml:space="preserve">- [ ] Are data sharing agreements/MOUs and ethical review pathways documented and reusable?</w:t>
      </w:r>
    </w:p>
    <w:bookmarkEnd w:id="173"/>
    <w:bookmarkStart w:id="174" w:name="organization"/>
    <w:p>
      <w:pPr>
        <w:pStyle w:val="Heading4"/>
      </w:pPr>
      <w:r>
        <w:t xml:space="preserve">Organization</w:t>
      </w:r>
    </w:p>
    <w:p>
      <w:pPr>
        <w:pStyle w:val="SourceCode"/>
      </w:pPr>
      <w:r>
        <w:rPr>
          <w:rStyle w:val="VerbatimChar"/>
        </w:rPr>
        <w:t xml:space="preserve">- [ ] Does a governance policy exist that sets minimum requirements for DMPs, RACI, retention, IDS, and release reviews?</w:t>
      </w:r>
      <w:r>
        <w:br/>
      </w:r>
      <w:r>
        <w:rPr>
          <w:rStyle w:val="VerbatimChar"/>
        </w:rPr>
        <w:t xml:space="preserve">- [ ] Is there a standing review forum (e.g., monthly data governance check‑in) and a registry of governed data products?</w:t>
      </w:r>
    </w:p>
    <w:p>
      <w:pPr>
        <w:pStyle w:val="FirstParagraph"/>
      </w:pPr>
      <w:r>
        <w:t xml:space="preserve">Evidence to collect: DMP link, data product charter(s), RACI, IDS</w:t>
      </w:r>
      <w:r>
        <w:t xml:space="preserve"> </w:t>
      </w:r>
      <w:r>
        <w:t xml:space="preserve">guidance, sharing agreements registry.</w:t>
      </w:r>
    </w:p>
    <w:bookmarkEnd w:id="174"/>
    <w:bookmarkEnd w:id="175"/>
    <w:bookmarkStart w:id="179" w:name="practice-2-reuse-proven-infrastructure"/>
    <w:p>
      <w:pPr>
        <w:pStyle w:val="Heading2"/>
      </w:pPr>
      <w:r>
        <w:t xml:space="preserve">Practice 2 — Reuse Proven Infrastructure</w:t>
      </w:r>
    </w:p>
    <w:bookmarkStart w:id="176" w:name="project-1"/>
    <w:p>
      <w:pPr>
        <w:pStyle w:val="Heading4"/>
      </w:pPr>
      <w:r>
        <w:t xml:space="preserve">Project</w:t>
      </w:r>
    </w:p>
    <w:p>
      <w:pPr>
        <w:pStyle w:val="SourceCode"/>
      </w:pPr>
      <w:r>
        <w:rPr>
          <w:rStyle w:val="VerbatimChar"/>
        </w:rPr>
        <w:t xml:space="preserve">- [ ] Have you researched the existing data sharing infrastructure and data storage options specific to your data and context? Eg. Ocean Biodiversity Information System, Global Biodiversity Information Facility, Knowledge Network for Biocomplexity, Zenodo, Dataverse, etc.</w:t>
      </w:r>
      <w:r>
        <w:br/>
      </w:r>
      <w:r>
        <w:rPr>
          <w:rStyle w:val="VerbatimChar"/>
        </w:rPr>
        <w:t xml:space="preserve">- [ ] Is your code in version control (e.g., Git) with an issue tracker and releases?</w:t>
      </w:r>
      <w:r>
        <w:br/>
      </w:r>
      <w:r>
        <w:rPr>
          <w:rStyle w:val="VerbatimChar"/>
        </w:rPr>
        <w:t xml:space="preserve">- [ ] Are you using an approved repository or data store rather than creating a new silo? (where)</w:t>
      </w:r>
      <w:r>
        <w:br/>
      </w:r>
      <w:r>
        <w:rPr>
          <w:rStyle w:val="VerbatimChar"/>
        </w:rPr>
        <w:t xml:space="preserve">- [ ] Do you use existing organization authentication/authorization and backup processes?</w:t>
      </w:r>
    </w:p>
    <w:bookmarkEnd w:id="176"/>
    <w:bookmarkStart w:id="177" w:name="program-1"/>
    <w:p>
      <w:pPr>
        <w:pStyle w:val="Heading4"/>
      </w:pPr>
      <w:r>
        <w:t xml:space="preserve">Program</w:t>
      </w:r>
    </w:p>
    <w:p>
      <w:pPr>
        <w:pStyle w:val="SourceCode"/>
      </w:pPr>
      <w:r>
        <w:rPr>
          <w:rStyle w:val="VerbatimChar"/>
        </w:rPr>
        <w:t xml:space="preserve">- [ ] Is there a preferred stack list (storage, metadata catalog, workflow runner, packaging, container base images)?</w:t>
      </w:r>
      <w:r>
        <w:br/>
      </w:r>
      <w:r>
        <w:rPr>
          <w:rStyle w:val="VerbatimChar"/>
        </w:rPr>
        <w:t xml:space="preserve">- [ ] Do projects consistently deposit finalized data in approved repositories with clear intake criteria?</w:t>
      </w:r>
    </w:p>
    <w:bookmarkEnd w:id="177"/>
    <w:bookmarkStart w:id="178" w:name="organization-1"/>
    <w:p>
      <w:pPr>
        <w:pStyle w:val="Heading4"/>
      </w:pPr>
      <w:r>
        <w:t xml:space="preserve">Organization</w:t>
      </w:r>
    </w:p>
    <w:p>
      <w:pPr>
        <w:pStyle w:val="SourceCode"/>
      </w:pPr>
      <w:r>
        <w:rPr>
          <w:rStyle w:val="VerbatimChar"/>
        </w:rPr>
        <w:t xml:space="preserve">- [ ] Are enterprise services available and documented (data lake, object store, catalog/portal, archival repository)?</w:t>
      </w:r>
      <w:r>
        <w:br/>
      </w:r>
      <w:r>
        <w:rPr>
          <w:rStyle w:val="VerbatimChar"/>
        </w:rPr>
        <w:t xml:space="preserve">- [ ] Is there a deprecation pathway for legacy systems and a migration plan for priority datasets?</w:t>
      </w:r>
    </w:p>
    <w:p>
      <w:pPr>
        <w:pStyle w:val="FirstParagraph"/>
      </w:pPr>
      <w:r>
        <w:t xml:space="preserve">Evidence to collect: repository URLs, infrastructure inventory, intake</w:t>
      </w:r>
      <w:r>
        <w:t xml:space="preserve"> </w:t>
      </w:r>
      <w:r>
        <w:t xml:space="preserve">criteria, backup/DR documentation.</w:t>
      </w:r>
    </w:p>
    <w:bookmarkEnd w:id="178"/>
    <w:bookmarkEnd w:id="179"/>
    <w:bookmarkStart w:id="183" w:name="Xd5ee02bc2d4148b1f0172bd1728e238823753c5"/>
    <w:p>
      <w:pPr>
        <w:pStyle w:val="Heading2"/>
      </w:pPr>
      <w:r>
        <w:t xml:space="preserve">Practice 3 — Use Persistent Identifiers (PIDs) for People, Projects, Data, and Methods</w:t>
      </w:r>
    </w:p>
    <w:bookmarkStart w:id="180" w:name="project-2"/>
    <w:p>
      <w:pPr>
        <w:pStyle w:val="Heading4"/>
      </w:pPr>
      <w:r>
        <w:t xml:space="preserve">Project</w:t>
      </w:r>
    </w:p>
    <w:p>
      <w:pPr>
        <w:pStyle w:val="SourceCode"/>
      </w:pPr>
      <w:r>
        <w:rPr>
          <w:rStyle w:val="VerbatimChar"/>
        </w:rPr>
        <w:t xml:space="preserve">- [ ] Do all contributors have ORCID IDs recorded in metadata?</w:t>
      </w:r>
      <w:r>
        <w:br/>
      </w:r>
      <w:r>
        <w:rPr>
          <w:rStyle w:val="VerbatimChar"/>
        </w:rPr>
        <w:t xml:space="preserve">- [ ] Does the project have a resolvable PID (e.g., DOI for a project page or protocol, internal project ID)?</w:t>
      </w:r>
      <w:r>
        <w:br/>
      </w:r>
      <w:r>
        <w:rPr>
          <w:rStyle w:val="VerbatimChar"/>
        </w:rPr>
        <w:t xml:space="preserve">- [ ] Are datasets assigned DOIs (or other PIDs) at publication, and are versions tracked?</w:t>
      </w:r>
      <w:r>
        <w:br/>
      </w:r>
      <w:r>
        <w:rPr>
          <w:rStyle w:val="VerbatimChar"/>
        </w:rPr>
        <w:t xml:space="preserve">- [ ] Are methods/protocols published and citable (e.g., protocol DOI) and linked from dataset metadata?</w:t>
      </w:r>
    </w:p>
    <w:bookmarkEnd w:id="180"/>
    <w:bookmarkStart w:id="181" w:name="program-2"/>
    <w:p>
      <w:pPr>
        <w:pStyle w:val="Heading4"/>
      </w:pPr>
      <w:r>
        <w:t xml:space="preserve">Program</w:t>
      </w:r>
    </w:p>
    <w:p>
      <w:pPr>
        <w:pStyle w:val="SourceCode"/>
      </w:pPr>
      <w:r>
        <w:rPr>
          <w:rStyle w:val="VerbatimChar"/>
        </w:rPr>
        <w:t xml:space="preserve">- [ ] Is there guidance on when to mint PIDs, by whom, and where they resolve?</w:t>
      </w:r>
      <w:r>
        <w:br/>
      </w:r>
      <w:r>
        <w:rPr>
          <w:rStyle w:val="VerbatimChar"/>
        </w:rPr>
        <w:t xml:space="preserve">- [ ] Are projects linked to organizational identifiers (e.g., ROR for institutions) in metadata?</w:t>
      </w:r>
    </w:p>
    <w:bookmarkEnd w:id="181"/>
    <w:bookmarkStart w:id="182" w:name="organization-2"/>
    <w:p>
      <w:pPr>
        <w:pStyle w:val="Heading4"/>
      </w:pPr>
      <w:r>
        <w:t xml:space="preserve">Organization</w:t>
      </w:r>
    </w:p>
    <w:p>
      <w:pPr>
        <w:pStyle w:val="SourceCode"/>
      </w:pPr>
      <w:r>
        <w:rPr>
          <w:rStyle w:val="VerbatimChar"/>
        </w:rPr>
        <w:t xml:space="preserve">- [ ] Is there a PID policy and a provider/registrar configured (e.g., DataCite) with a documented workflow?</w:t>
      </w:r>
      <w:r>
        <w:br/>
      </w:r>
      <w:r>
        <w:rPr>
          <w:rStyle w:val="VerbatimChar"/>
        </w:rPr>
        <w:t xml:space="preserve">- [ ] Are PID linkages automated in the catalog (people ↔ projects ↔ datasets ↔ publications)?</w:t>
      </w:r>
    </w:p>
    <w:p>
      <w:pPr>
        <w:pStyle w:val="FirstParagraph"/>
      </w:pPr>
      <w:r>
        <w:t xml:space="preserve">Evidence to collect: ORCID list, PID policy, DOI records, resolver links</w:t>
      </w:r>
      <w:r>
        <w:t xml:space="preserve"> </w:t>
      </w:r>
      <w:r>
        <w:t xml:space="preserve">in the catalog.</w:t>
      </w:r>
    </w:p>
    <w:bookmarkEnd w:id="182"/>
    <w:bookmarkEnd w:id="183"/>
    <w:bookmarkStart w:id="187" w:name="Xf9fd600ab9a6d62c48506102a263b71f9becf16"/>
    <w:p>
      <w:pPr>
        <w:pStyle w:val="Heading2"/>
      </w:pPr>
      <w:r>
        <w:t xml:space="preserve">Practice 4 — Shared Data Models, Vocabularies, and Metadata</w:t>
      </w:r>
    </w:p>
    <w:bookmarkStart w:id="184" w:name="project-3"/>
    <w:p>
      <w:pPr>
        <w:pStyle w:val="Heading4"/>
      </w:pPr>
      <w:r>
        <w:t xml:space="preserve">Project</w:t>
      </w:r>
    </w:p>
    <w:p>
      <w:pPr>
        <w:pStyle w:val="SourceCode"/>
      </w:pPr>
      <w:r>
        <w:rPr>
          <w:rStyle w:val="VerbatimChar"/>
        </w:rPr>
        <w:t xml:space="preserve">- [ ] Which metadata profile is used (e.g., ISO 19115, EML)? Is the minimum profile complete and machine‑readable?</w:t>
      </w:r>
      <w:r>
        <w:br/>
      </w:r>
      <w:r>
        <w:rPr>
          <w:rStyle w:val="VerbatimChar"/>
        </w:rPr>
        <w:t xml:space="preserve">- [ ] Are core entities modeled consistently (stock/population IDs, locations, temporal coverage, age/brood year semantics)?</w:t>
      </w:r>
      <w:r>
        <w:br/>
      </w:r>
      <w:r>
        <w:rPr>
          <w:rStyle w:val="VerbatimChar"/>
        </w:rPr>
        <w:t xml:space="preserve">- [ ] Are controlled vocabularies/code lists applied for key fields (e.g., species codes, gear, life stage, age type)?</w:t>
      </w:r>
      <w:r>
        <w:br/>
      </w:r>
      <w:r>
        <w:rPr>
          <w:rStyle w:val="VerbatimChar"/>
        </w:rPr>
        <w:t xml:space="preserve">- [ ] Is a data dictionary included with definitions, units, allowed values, and provenance for each variable?</w:t>
      </w:r>
    </w:p>
    <w:bookmarkEnd w:id="184"/>
    <w:bookmarkStart w:id="185" w:name="program-3"/>
    <w:p>
      <w:pPr>
        <w:pStyle w:val="Heading4"/>
      </w:pPr>
      <w:r>
        <w:t xml:space="preserve">Program</w:t>
      </w:r>
    </w:p>
    <w:p>
      <w:pPr>
        <w:pStyle w:val="SourceCode"/>
      </w:pPr>
      <w:r>
        <w:rPr>
          <w:rStyle w:val="VerbatimChar"/>
        </w:rPr>
        <w:t xml:space="preserve">- [ ] Do projects use a shared schema and code lists across datasets to enable easy joins?</w:t>
      </w:r>
      <w:r>
        <w:br/>
      </w:r>
      <w:r>
        <w:rPr>
          <w:rStyle w:val="VerbatimChar"/>
        </w:rPr>
        <w:t xml:space="preserve">- [ ] Are validation checks in CI (schema validation, vocab checks) standardized across repositories?</w:t>
      </w:r>
    </w:p>
    <w:bookmarkEnd w:id="185"/>
    <w:bookmarkStart w:id="186" w:name="organization-3"/>
    <w:p>
      <w:pPr>
        <w:pStyle w:val="Heading4"/>
      </w:pPr>
      <w:r>
        <w:t xml:space="preserve">Organization</w:t>
      </w:r>
    </w:p>
    <w:p>
      <w:pPr>
        <w:pStyle w:val="SourceCode"/>
      </w:pPr>
      <w:r>
        <w:rPr>
          <w:rStyle w:val="VerbatimChar"/>
        </w:rPr>
        <w:t xml:space="preserve">- [ ] Is there an endorsed salmon domain profile and shared code lists with owners and change control?</w:t>
      </w:r>
      <w:r>
        <w:br/>
      </w:r>
      <w:r>
        <w:rPr>
          <w:rStyle w:val="VerbatimChar"/>
        </w:rPr>
        <w:t xml:space="preserve">- [ ] Are mappings to external standards maintained (e.g., taxonomic, geospatial, hydrological registries)?</w:t>
      </w:r>
    </w:p>
    <w:p>
      <w:pPr>
        <w:pStyle w:val="FirstParagraph"/>
      </w:pPr>
      <w:r>
        <w:t xml:space="preserve">Evidence to collect: metadata profiles, data dictionary, code lists,</w:t>
      </w:r>
      <w:r>
        <w:t xml:space="preserve"> </w:t>
      </w:r>
      <w:r>
        <w:t xml:space="preserve">schema validators, mapping documentation.</w:t>
      </w:r>
    </w:p>
    <w:bookmarkEnd w:id="186"/>
    <w:bookmarkEnd w:id="187"/>
    <w:bookmarkStart w:id="191" w:name="X1953933a9a9dcdc8d482995d59b75af7f7e8d2c"/>
    <w:p>
      <w:pPr>
        <w:pStyle w:val="Heading2"/>
      </w:pPr>
      <w:r>
        <w:t xml:space="preserve">Practice 5 — Store and Analyze Data for Easy Access, Use, and Trust</w:t>
      </w:r>
    </w:p>
    <w:bookmarkStart w:id="188" w:name="project-4"/>
    <w:p>
      <w:pPr>
        <w:pStyle w:val="Heading4"/>
      </w:pPr>
      <w:r>
        <w:t xml:space="preserve">Project</w:t>
      </w:r>
    </w:p>
    <w:p>
      <w:pPr>
        <w:pStyle w:val="SourceCode"/>
      </w:pPr>
      <w:r>
        <w:rPr>
          <w:rStyle w:val="VerbatimChar"/>
        </w:rPr>
        <w:t xml:space="preserve">- [ ] Is raw data immutable and separated from processed/analysis outputs?</w:t>
      </w:r>
      <w:r>
        <w:br/>
      </w:r>
      <w:r>
        <w:rPr>
          <w:rStyle w:val="VerbatimChar"/>
        </w:rPr>
        <w:t xml:space="preserve">- [ ] Is there a fully reproducible workflow (scripts/notebooks + environment + parameters) that runs end‑to‑end?</w:t>
      </w:r>
      <w:r>
        <w:br/>
      </w:r>
      <w:r>
        <w:rPr>
          <w:rStyle w:val="VerbatimChar"/>
        </w:rPr>
        <w:t xml:space="preserve">- [ ] Is the computational environment captured (lockfile/conda env, container image) and versioned?</w:t>
      </w:r>
      <w:r>
        <w:br/>
      </w:r>
      <w:r>
        <w:rPr>
          <w:rStyle w:val="VerbatimChar"/>
        </w:rPr>
        <w:t xml:space="preserve">- [ ] Are QA/QC checks automated with logs and thresholds documented?</w:t>
      </w:r>
      <w:r>
        <w:br/>
      </w:r>
      <w:r>
        <w:rPr>
          <w:rStyle w:val="VerbatimChar"/>
        </w:rPr>
        <w:t xml:space="preserve">- [ ] Are access controls and sensitive data handling documented and implemented?</w:t>
      </w:r>
    </w:p>
    <w:bookmarkEnd w:id="188"/>
    <w:bookmarkStart w:id="189" w:name="program-4"/>
    <w:p>
      <w:pPr>
        <w:pStyle w:val="Heading4"/>
      </w:pPr>
      <w:r>
        <w:t xml:space="preserve">Program</w:t>
      </w:r>
    </w:p>
    <w:p>
      <w:pPr>
        <w:pStyle w:val="SourceCode"/>
      </w:pPr>
      <w:r>
        <w:rPr>
          <w:rStyle w:val="VerbatimChar"/>
        </w:rPr>
        <w:t xml:space="preserve">- [ ] Do projects follow a common repo layout and release process (tags, changelog, signed artifacts)?</w:t>
      </w:r>
      <w:r>
        <w:br/>
      </w:r>
      <w:r>
        <w:rPr>
          <w:rStyle w:val="VerbatimChar"/>
        </w:rPr>
        <w:t xml:space="preserve">- [ ] Are standard storage classes, lifecycle policies, and archival rules applied?</w:t>
      </w:r>
    </w:p>
    <w:bookmarkEnd w:id="189"/>
    <w:bookmarkStart w:id="190" w:name="organization-4"/>
    <w:p>
      <w:pPr>
        <w:pStyle w:val="Heading4"/>
      </w:pPr>
      <w:r>
        <w:t xml:space="preserve">Organization</w:t>
      </w:r>
    </w:p>
    <w:p>
      <w:pPr>
        <w:pStyle w:val="SourceCode"/>
      </w:pPr>
      <w:r>
        <w:rPr>
          <w:rStyle w:val="VerbatimChar"/>
        </w:rPr>
        <w:t xml:space="preserve">- [ ] Are security, backup/retention, and audit requirements defined and routinely verified?</w:t>
      </w:r>
      <w:r>
        <w:br/>
      </w:r>
      <w:r>
        <w:rPr>
          <w:rStyle w:val="VerbatimChar"/>
        </w:rPr>
        <w:t xml:space="preserve">- [ ] Is there a trusted long‑term archive with fixity checking and preservation metadata?</w:t>
      </w:r>
    </w:p>
    <w:p>
      <w:pPr>
        <w:pStyle w:val="FirstParagraph"/>
      </w:pPr>
      <w:r>
        <w:t xml:space="preserve">Evidence to collect: workflow definition, environment files, container</w:t>
      </w:r>
      <w:r>
        <w:t xml:space="preserve"> </w:t>
      </w:r>
      <w:r>
        <w:t xml:space="preserve">references, QA/QC reports, storage/backup settings.</w:t>
      </w:r>
    </w:p>
    <w:bookmarkEnd w:id="190"/>
    <w:bookmarkEnd w:id="191"/>
    <w:bookmarkStart w:id="195" w:name="X09eeb7331e7661c0e600debc39b8121143e6e9d"/>
    <w:p>
      <w:pPr>
        <w:pStyle w:val="Heading2"/>
      </w:pPr>
      <w:r>
        <w:t xml:space="preserve">Practice 6 — Incentivize and Track Sharing and Reuse</w:t>
      </w:r>
    </w:p>
    <w:bookmarkStart w:id="192" w:name="project-5"/>
    <w:p>
      <w:pPr>
        <w:pStyle w:val="Heading4"/>
      </w:pPr>
      <w:r>
        <w:t xml:space="preserve">Project</w:t>
      </w:r>
    </w:p>
    <w:p>
      <w:pPr>
        <w:pStyle w:val="SourceCode"/>
      </w:pPr>
      <w:r>
        <w:rPr>
          <w:rStyle w:val="VerbatimChar"/>
        </w:rPr>
        <w:t xml:space="preserve">- [ ] Is a clear citation and license statement included in metadata and README?</w:t>
      </w:r>
      <w:r>
        <w:br/>
      </w:r>
      <w:r>
        <w:rPr>
          <w:rStyle w:val="VerbatimChar"/>
        </w:rPr>
        <w:t xml:space="preserve">- [ ] Are reuse metrics collected (downloads, citations, API hits) and reviewed?</w:t>
      </w:r>
      <w:r>
        <w:br/>
      </w:r>
      <w:r>
        <w:rPr>
          <w:rStyle w:val="VerbatimChar"/>
        </w:rPr>
        <w:t xml:space="preserve">- [ ] Do release notes document what changed and implications for users?</w:t>
      </w:r>
    </w:p>
    <w:bookmarkEnd w:id="192"/>
    <w:bookmarkStart w:id="193" w:name="program-5"/>
    <w:p>
      <w:pPr>
        <w:pStyle w:val="Heading4"/>
      </w:pPr>
      <w:r>
        <w:t xml:space="preserve">Program</w:t>
      </w:r>
    </w:p>
    <w:p>
      <w:pPr>
        <w:pStyle w:val="SourceCode"/>
      </w:pPr>
      <w:r>
        <w:rPr>
          <w:rStyle w:val="VerbatimChar"/>
        </w:rPr>
        <w:t xml:space="preserve">- [ ] Are common metrics dashboards available for priority datasets and updated automatically?</w:t>
      </w:r>
      <w:r>
        <w:br/>
      </w:r>
      <w:r>
        <w:rPr>
          <w:rStyle w:val="VerbatimChar"/>
        </w:rPr>
        <w:t xml:space="preserve">- [ ] Are data citations tracked in assessments, reports, and staff evaluations?</w:t>
      </w:r>
    </w:p>
    <w:bookmarkEnd w:id="193"/>
    <w:bookmarkStart w:id="194" w:name="organization-5"/>
    <w:p>
      <w:pPr>
        <w:pStyle w:val="Heading4"/>
      </w:pPr>
      <w:r>
        <w:t xml:space="preserve">Organization</w:t>
      </w:r>
    </w:p>
    <w:p>
      <w:pPr>
        <w:pStyle w:val="SourceCode"/>
      </w:pPr>
      <w:r>
        <w:rPr>
          <w:rStyle w:val="VerbatimChar"/>
        </w:rPr>
        <w:t xml:space="preserve">- [ ] Do policies require citation guidance and permissive, appropriate licensing where possible?</w:t>
      </w:r>
      <w:r>
        <w:br/>
      </w:r>
      <w:r>
        <w:rPr>
          <w:rStyle w:val="VerbatimChar"/>
        </w:rPr>
        <w:t xml:space="preserve">- [ ] Are automated reports of reuse (e.g., via DOI provider APIs) delivered to product owners and leadership?</w:t>
      </w:r>
    </w:p>
    <w:p>
      <w:pPr>
        <w:pStyle w:val="FirstParagraph"/>
      </w:pPr>
      <w:r>
        <w:t xml:space="preserve">Evidence to collect: LICENSE, CITATION, reuse dashboard link, policy</w:t>
      </w:r>
      <w:r>
        <w:t xml:space="preserve"> </w:t>
      </w:r>
      <w:r>
        <w:t xml:space="preserve">excerpts, sample citations in reports.</w:t>
      </w:r>
    </w:p>
    <w:bookmarkEnd w:id="194"/>
    <w:bookmarkEnd w:id="195"/>
    <w:bookmarkStart w:id="199" w:name="Xf1ef7e3eb857b993ceb364de2f4e82691aed878"/>
    <w:p>
      <w:pPr>
        <w:pStyle w:val="Heading2"/>
      </w:pPr>
      <w:r>
        <w:t xml:space="preserve">Practice 7 — Build Community Through Co‑Development and Mutual Benefit</w:t>
      </w:r>
    </w:p>
    <w:bookmarkStart w:id="196" w:name="project-6"/>
    <w:p>
      <w:pPr>
        <w:pStyle w:val="Heading4"/>
      </w:pPr>
      <w:r>
        <w:t xml:space="preserve">Project</w:t>
      </w:r>
    </w:p>
    <w:p>
      <w:pPr>
        <w:pStyle w:val="SourceCode"/>
      </w:pPr>
      <w:r>
        <w:rPr>
          <w:rStyle w:val="VerbatimChar"/>
        </w:rPr>
        <w:t xml:space="preserve">- [ ] Are stakeholders identified, including First Nations/Tribes/Indigenous partners, and engagement needs documented?</w:t>
      </w:r>
      <w:r>
        <w:br/>
      </w:r>
      <w:r>
        <w:rPr>
          <w:rStyle w:val="VerbatimChar"/>
        </w:rPr>
        <w:t xml:space="preserve">- [ ] Have you held at least one co‑design session to validate user needs and success criteria?</w:t>
      </w:r>
      <w:r>
        <w:br/>
      </w:r>
      <w:r>
        <w:rPr>
          <w:rStyle w:val="VerbatimChar"/>
        </w:rPr>
        <w:t xml:space="preserve">- [ ] Is there an open feedback channel (issues form, contact) and a published roadmap?</w:t>
      </w:r>
    </w:p>
    <w:bookmarkEnd w:id="196"/>
    <w:bookmarkStart w:id="197" w:name="program-6"/>
    <w:p>
      <w:pPr>
        <w:pStyle w:val="Heading4"/>
      </w:pPr>
      <w:r>
        <w:t xml:space="preserve">Program</w:t>
      </w:r>
    </w:p>
    <w:p>
      <w:pPr>
        <w:pStyle w:val="SourceCode"/>
      </w:pPr>
      <w:r>
        <w:rPr>
          <w:rStyle w:val="VerbatimChar"/>
        </w:rPr>
        <w:t xml:space="preserve">- [ ] Do cross‑project working groups exist for models, vocabularies, and tooling with regular cadence and notes?</w:t>
      </w:r>
      <w:r>
        <w:br/>
      </w:r>
      <w:r>
        <w:rPr>
          <w:rStyle w:val="VerbatimChar"/>
        </w:rPr>
        <w:t xml:space="preserve">- [ ] Are community contributions recognized (authorship, acknowledgements, meeting time, funding)?</w:t>
      </w:r>
    </w:p>
    <w:bookmarkEnd w:id="197"/>
    <w:bookmarkStart w:id="198" w:name="organization-6"/>
    <w:p>
      <w:pPr>
        <w:pStyle w:val="Heading4"/>
      </w:pPr>
      <w:r>
        <w:t xml:space="preserve">Organization</w:t>
      </w:r>
    </w:p>
    <w:p>
      <w:pPr>
        <w:pStyle w:val="SourceCode"/>
      </w:pPr>
      <w:r>
        <w:rPr>
          <w:rStyle w:val="VerbatimChar"/>
        </w:rPr>
        <w:t xml:space="preserve">- [ ] Is there an endorsed governance body or community of practice with decision records?</w:t>
      </w:r>
      <w:r>
        <w:br/>
      </w:r>
      <w:r>
        <w:rPr>
          <w:rStyle w:val="VerbatimChar"/>
        </w:rPr>
        <w:t xml:space="preserve">- [ ] Are procurement/funding mechanisms available to support shared components and Indigenous partnerships?</w:t>
      </w:r>
    </w:p>
    <w:p>
      <w:pPr>
        <w:pStyle w:val="FirstParagraph"/>
      </w:pPr>
      <w:r>
        <w:t xml:space="preserve">Evidence to collect: stakeholder map, engagement records, roadmap,</w:t>
      </w:r>
      <w:r>
        <w:t xml:space="preserve"> </w:t>
      </w:r>
      <w:r>
        <w:t xml:space="preserve">working group notes, decision log.</w:t>
      </w:r>
    </w:p>
    <w:p>
      <w:r>
        <w:pict>
          <v:rect style="width:0;height:1.5pt" o:hralign="center" o:hrstd="t" o:hr="t"/>
        </w:pict>
      </w:r>
    </w:p>
    <w:bookmarkEnd w:id="198"/>
    <w:bookmarkEnd w:id="199"/>
    <w:bookmarkEnd w:id="200"/>
    <w:bookmarkStart w:id="201" w:name="quick-start-306090day-plan"/>
    <w:p>
      <w:pPr>
        <w:pStyle w:val="Heading1"/>
      </w:pPr>
      <w:r>
        <w:t xml:space="preserve">Quick Start: 30/60/90‑Day Plan</w:t>
      </w:r>
    </w:p>
    <w:p>
      <w:pPr>
        <w:pStyle w:val="Compact"/>
        <w:numPr>
          <w:ilvl w:val="0"/>
          <w:numId w:val="1045"/>
        </w:numPr>
      </w:pPr>
      <w:r>
        <w:t xml:space="preserve">First 30 days</w:t>
      </w:r>
    </w:p>
    <w:p>
      <w:pPr>
        <w:pStyle w:val="Compact"/>
        <w:numPr>
          <w:ilvl w:val="1"/>
          <w:numId w:val="1046"/>
        </w:numPr>
      </w:pPr>
      <w:r>
        <w:t xml:space="preserve">Create/standardize DMP + RACI; draft data product charters for</w:t>
      </w:r>
      <w:r>
        <w:t xml:space="preserve"> </w:t>
      </w:r>
      <w:r>
        <w:t xml:space="preserve">top 1–2 datasets.</w:t>
      </w:r>
    </w:p>
    <w:p>
      <w:pPr>
        <w:pStyle w:val="Compact"/>
        <w:numPr>
          <w:ilvl w:val="1"/>
          <w:numId w:val="1047"/>
        </w:numPr>
      </w:pPr>
      <w:r>
        <w:t xml:space="preserve">Move code to version control; document repo structure; capture</w:t>
      </w:r>
      <w:r>
        <w:t xml:space="preserve"> </w:t>
      </w:r>
      <w:r>
        <w:t xml:space="preserve">environment file.</w:t>
      </w:r>
    </w:p>
    <w:p>
      <w:pPr>
        <w:pStyle w:val="Compact"/>
        <w:numPr>
          <w:ilvl w:val="1"/>
          <w:numId w:val="1048"/>
        </w:numPr>
      </w:pPr>
      <w:r>
        <w:t xml:space="preserve">Choose metadata profile and draft a minimal data dictionary;</w:t>
      </w:r>
      <w:r>
        <w:t xml:space="preserve"> </w:t>
      </w:r>
      <w:r>
        <w:t xml:space="preserve">list code lists in use.</w:t>
      </w:r>
    </w:p>
    <w:p>
      <w:pPr>
        <w:pStyle w:val="Compact"/>
        <w:numPr>
          <w:ilvl w:val="0"/>
          <w:numId w:val="1045"/>
        </w:numPr>
      </w:pPr>
      <w:r>
        <w:t xml:space="preserve">By 60 days</w:t>
      </w:r>
    </w:p>
    <w:p>
      <w:pPr>
        <w:pStyle w:val="Compact"/>
        <w:numPr>
          <w:ilvl w:val="1"/>
          <w:numId w:val="1049"/>
        </w:numPr>
      </w:pPr>
      <w:r>
        <w:t xml:space="preserve">Mint/plan PIDs (project page/protocols), add ORCIDs to metadata,</w:t>
      </w:r>
      <w:r>
        <w:t xml:space="preserve"> </w:t>
      </w:r>
      <w:r>
        <w:t xml:space="preserve">prepare DOI for first dataset.</w:t>
      </w:r>
    </w:p>
    <w:p>
      <w:pPr>
        <w:pStyle w:val="Compact"/>
        <w:numPr>
          <w:ilvl w:val="1"/>
          <w:numId w:val="1050"/>
        </w:numPr>
      </w:pPr>
      <w:r>
        <w:t xml:space="preserve">Add schema + vocab validation to CI; separate raw/processed;</w:t>
      </w:r>
      <w:r>
        <w:t xml:space="preserve"> </w:t>
      </w:r>
      <w:r>
        <w:t xml:space="preserve">automate QA/QC checks.</w:t>
      </w:r>
    </w:p>
    <w:p>
      <w:pPr>
        <w:pStyle w:val="Compact"/>
        <w:numPr>
          <w:ilvl w:val="1"/>
          <w:numId w:val="1051"/>
        </w:numPr>
      </w:pPr>
      <w:r>
        <w:t xml:space="preserve">Stand up a reuse dashboard or basic metrics capture; add</w:t>
      </w:r>
      <w:r>
        <w:t xml:space="preserve"> </w:t>
      </w:r>
      <w:r>
        <w:t xml:space="preserve">citation/license to README and metadata.</w:t>
      </w:r>
    </w:p>
    <w:p>
      <w:pPr>
        <w:pStyle w:val="Compact"/>
        <w:numPr>
          <w:ilvl w:val="0"/>
          <w:numId w:val="1045"/>
        </w:numPr>
      </w:pPr>
      <w:r>
        <w:t xml:space="preserve">By 90 days</w:t>
      </w:r>
    </w:p>
    <w:p>
      <w:pPr>
        <w:pStyle w:val="Compact"/>
        <w:numPr>
          <w:ilvl w:val="1"/>
          <w:numId w:val="1052"/>
        </w:numPr>
      </w:pPr>
      <w:r>
        <w:t xml:space="preserve">Publish first governed release to approved repository with DOI</w:t>
      </w:r>
      <w:r>
        <w:t xml:space="preserve"> </w:t>
      </w:r>
      <w:r>
        <w:t xml:space="preserve">and complete metadata.</w:t>
      </w:r>
    </w:p>
    <w:p>
      <w:pPr>
        <w:pStyle w:val="Compact"/>
        <w:numPr>
          <w:ilvl w:val="1"/>
          <w:numId w:val="1053"/>
        </w:numPr>
      </w:pPr>
      <w:r>
        <w:t xml:space="preserve">Formalize cross‑project working group and change control for</w:t>
      </w:r>
      <w:r>
        <w:t xml:space="preserve"> </w:t>
      </w:r>
      <w:r>
        <w:t xml:space="preserve">vocabularies.</w:t>
      </w:r>
    </w:p>
    <w:p>
      <w:pPr>
        <w:pStyle w:val="Compact"/>
        <w:numPr>
          <w:ilvl w:val="1"/>
          <w:numId w:val="1054"/>
        </w:numPr>
      </w:pPr>
      <w:r>
        <w:t xml:space="preserve">Document archival/retention path and verify backups; schedule</w:t>
      </w:r>
      <w:r>
        <w:t xml:space="preserve"> </w:t>
      </w:r>
      <w:r>
        <w:t xml:space="preserve">governance reviews.</w:t>
      </w:r>
    </w:p>
    <w:p>
      <w:r>
        <w:pict>
          <v:rect style="width:0;height:1.5pt" o:hralign="center" o:hrstd="t" o:hr="t"/>
        </w:pict>
      </w:r>
    </w:p>
    <w:bookmarkEnd w:id="201"/>
    <w:bookmarkStart w:id="203" w:name="X5baba2ffe9b3bc899417ced2108067196c8d8e9"/>
    <w:p>
      <w:pPr>
        <w:pStyle w:val="Heading1"/>
      </w:pPr>
      <w:r>
        <w:t xml:space="preserve">Minimal Artifacts Checklist (Project Level)</w:t>
      </w:r>
    </w:p>
    <w:p>
      <w:pPr>
        <w:pStyle w:val="Compact"/>
        <w:numPr>
          <w:ilvl w:val="0"/>
          <w:numId w:val="1055"/>
        </w:numPr>
      </w:pPr>
      <w:r>
        <w:t xml:space="preserve">DMP (with IDS considerations) and RACI</w:t>
      </w:r>
    </w:p>
    <w:p>
      <w:pPr>
        <w:pStyle w:val="Compact"/>
        <w:numPr>
          <w:ilvl w:val="0"/>
          <w:numId w:val="1056"/>
        </w:numPr>
      </w:pPr>
      <w:r>
        <w:t xml:space="preserve">Data product charter(s) for priority dataset(s)</w:t>
      </w:r>
    </w:p>
    <w:p>
      <w:pPr>
        <w:pStyle w:val="Compact"/>
        <w:numPr>
          <w:ilvl w:val="0"/>
          <w:numId w:val="1057"/>
        </w:numPr>
      </w:pPr>
      <w:r>
        <w:t xml:space="preserve">Versioned repository with releases and changelog</w:t>
      </w:r>
    </w:p>
    <w:p>
      <w:pPr>
        <w:pStyle w:val="Compact"/>
        <w:numPr>
          <w:ilvl w:val="0"/>
          <w:numId w:val="1058"/>
        </w:numPr>
      </w:pPr>
      <w:r>
        <w:t xml:space="preserve">Metadata profile file + data dictionary + code lists</w:t>
      </w:r>
    </w:p>
    <w:p>
      <w:pPr>
        <w:pStyle w:val="Compact"/>
        <w:numPr>
          <w:ilvl w:val="0"/>
          <w:numId w:val="1059"/>
        </w:numPr>
      </w:pPr>
      <w:r>
        <w:t xml:space="preserve">Reproducible workflow + environment file or container</w:t>
      </w:r>
    </w:p>
    <w:p>
      <w:pPr>
        <w:pStyle w:val="Compact"/>
        <w:numPr>
          <w:ilvl w:val="0"/>
          <w:numId w:val="1060"/>
        </w:numPr>
      </w:pPr>
      <w:r>
        <w:t xml:space="preserve">QA/QC checks and results log</w:t>
      </w:r>
    </w:p>
    <w:p>
      <w:pPr>
        <w:pStyle w:val="Compact"/>
        <w:numPr>
          <w:ilvl w:val="0"/>
          <w:numId w:val="1061"/>
        </w:numPr>
      </w:pPr>
      <w:r>
        <w:t xml:space="preserve">Citation and license statements</w:t>
      </w:r>
    </w:p>
    <w:p>
      <w:pPr>
        <w:pStyle w:val="Compact"/>
        <w:numPr>
          <w:ilvl w:val="0"/>
          <w:numId w:val="1062"/>
        </w:numPr>
      </w:pPr>
      <w:r>
        <w:t xml:space="preserve">Plan for PIDs (ORCID list, dataset/protocol DOIs)</w:t>
      </w:r>
    </w:p>
    <w:p>
      <w:pPr>
        <w:pStyle w:val="Compact"/>
        <w:numPr>
          <w:ilvl w:val="0"/>
          <w:numId w:val="1063"/>
        </w:numPr>
      </w:pPr>
      <w:r>
        <w:t xml:space="preserve">Evidence of stakeholder engagement and roadmap</w:t>
      </w:r>
    </w:p>
    <w:p>
      <w:pPr>
        <w:pStyle w:val="FirstParagraph"/>
      </w:pPr>
      <w:r>
        <w:t xml:space="preserve">Maintain this list as a living issue in your repository and review</w:t>
      </w:r>
      <w:r>
        <w:t xml:space="preserve"> </w:t>
      </w:r>
      <w:r>
        <w:t xml:space="preserve">quarterly.</w:t>
      </w:r>
    </w:p>
    <w:p>
      <w:pPr>
        <w:pStyle w:val="BodyText"/>
      </w:pPr>
      <w:r>
        <w:rPr>
          <w:vertAlign w:val="subscript"/>
        </w:rPr>
        <w:t xml:space="preserve">Source:</w:t>
      </w:r>
      <w:r>
        <w:rPr>
          <w:vertAlign w:val="subscript"/>
        </w:rPr>
        <w:t xml:space="preserve"> </w:t>
      </w:r>
      <w:hyperlink r:id="rId202">
        <w:r>
          <w:rPr>
            <w:rStyle w:val="Hyperlink"/>
            <w:vertAlign w:val="subscript"/>
          </w:rPr>
          <w:t xml:space="preserve">Appendix 3: Getting Started Checklist</w:t>
        </w:r>
      </w:hyperlink>
    </w:p>
    <w:bookmarkEnd w:id="2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3" Target="http://www.cohencommission.ca/" TargetMode="External" /><Relationship Type="http://schemas.openxmlformats.org/officeDocument/2006/relationships/hyperlink" Id="rId116" Target="https://api.ptagis.org/index.html#:~:text=PTAGIS%20API%20Gets%20a%20list,PTAGIS%20and%20currently%20contributing%20data" TargetMode="External" /><Relationship Type="http://schemas.openxmlformats.org/officeDocument/2006/relationships/hyperlink" Id="rId147" Target="https://blog.datacite.org/" TargetMode="External" /><Relationship Type="http://schemas.openxmlformats.org/officeDocument/2006/relationships/hyperlink" Id="rId164" Target="https://blog.okfn.org/" TargetMode="External" /><Relationship Type="http://schemas.openxmlformats.org/officeDocument/2006/relationships/hyperlink" Id="rId51" Target="https://books.google.ca/books?id=I_S0xCME0CYC" TargetMode="External" /><Relationship Type="http://schemas.openxmlformats.org/officeDocument/2006/relationships/hyperlink" Id="rId126" Target="https://br-johnson.github.io/sdm-paper/appendices/appendix-1-real-world-examples-preview.html#f74d3bc4-54eb-4715-971f-d77b337c50f9" TargetMode="External" /><Relationship Type="http://schemas.openxmlformats.org/officeDocument/2006/relationships/hyperlink" Id="rId166" Target="https://br-johnson.github.io/sdm-paper/appendices/appendix-2-training-roadmap-preview.html#718196ae-8a7f-4f9d-94a8-00b0045c1356" TargetMode="External" /><Relationship Type="http://schemas.openxmlformats.org/officeDocument/2006/relationships/hyperlink" Id="rId202" Target="https://br-johnson.github.io/sdm-paper/appendices/appendix-3-getting-started-checklist-preview.html#ed8748e7-1461-446c-a601-f2e142e8c505" TargetMode="External" /><Relationship Type="http://schemas.openxmlformats.org/officeDocument/2006/relationships/hyperlink" Id="rId104" Target="https://commons.datacite.org/ror.org/04901nj56" TargetMode="External" /><Relationship Type="http://schemas.openxmlformats.org/officeDocument/2006/relationships/hyperlink" Id="rId154" Target="https://creativecommons.org/licenses/by/4.0/" TargetMode="External" /><Relationship Type="http://schemas.openxmlformats.org/officeDocument/2006/relationships/hyperlink" Id="rId119" Target="https://creativecommons.org/licenses/by/4.0/deed.en" TargetMode="External" /><Relationship Type="http://schemas.openxmlformats.org/officeDocument/2006/relationships/hyperlink" Id="rId105" Target="https://data.npafc.org" TargetMode="External" /><Relationship Type="http://schemas.openxmlformats.org/officeDocument/2006/relationships/hyperlink" Id="rId99" Target="https://data.salmonwatersheds.ca/result?datasetid=2" TargetMode="External" /><Relationship Type="http://schemas.openxmlformats.org/officeDocument/2006/relationships/hyperlink" Id="rId144" Target="https://datacite.org" TargetMode="External" /><Relationship Type="http://schemas.openxmlformats.org/officeDocument/2006/relationships/hyperlink" Id="rId156" Target="https://datacite.org/service.html" TargetMode="External" /><Relationship Type="http://schemas.openxmlformats.org/officeDocument/2006/relationships/hyperlink" Id="rId136" Target="https://dmptool.org" TargetMode="External" /><Relationship Type="http://schemas.openxmlformats.org/officeDocument/2006/relationships/hyperlink" Id="rId92" Target="https://dmptool.org/public_templates?page=ALL" TargetMode="External" /><Relationship Type="http://schemas.openxmlformats.org/officeDocument/2006/relationships/hyperlink" Id="rId79" Target="https://doi.org/10.1007/s00267-014-0258-2" TargetMode="External" /><Relationship Type="http://schemas.openxmlformats.org/officeDocument/2006/relationships/hyperlink" Id="rId75" Target="https://doi.org/10.1016/c2012-0-07057-3" TargetMode="External" /><Relationship Type="http://schemas.openxmlformats.org/officeDocument/2006/relationships/hyperlink" Id="rId55" Target="https://doi.org/10.1038/s41559-023-02161-2" TargetMode="External" /><Relationship Type="http://schemas.openxmlformats.org/officeDocument/2006/relationships/hyperlink" Id="rId85"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81" Target="https://doi.org/10.1101/2025.03.14.643022" TargetMode="External" /><Relationship Type="http://schemas.openxmlformats.org/officeDocument/2006/relationships/hyperlink" Id="rId65" Target="https://doi.org/10.1108/jd-08-2018-0124" TargetMode="External" /><Relationship Type="http://schemas.openxmlformats.org/officeDocument/2006/relationships/hyperlink" Id="rId59" Target="https://doi.org/10.1111/j.1442-9993.2011.02351.x" TargetMode="External" /><Relationship Type="http://schemas.openxmlformats.org/officeDocument/2006/relationships/hyperlink" Id="rId73" Target="https://doi.org/10.1139/f2012-063" TargetMode="External" /><Relationship Type="http://schemas.openxmlformats.org/officeDocument/2006/relationships/hyperlink" Id="rId77" Target="https://doi.org/10.1139/facets-2020-0008" TargetMode="External" /><Relationship Type="http://schemas.openxmlformats.org/officeDocument/2006/relationships/hyperlink" Id="rId97" Target="https://doi.org/10.14286/duc6mu" TargetMode="External" /><Relationship Type="http://schemas.openxmlformats.org/officeDocument/2006/relationships/hyperlink" Id="rId67" Target="https://doi.org/10.17226/12017" TargetMode="External" /><Relationship Type="http://schemas.openxmlformats.org/officeDocument/2006/relationships/hyperlink" Id="rId57" Target="https://doi.org/10.23849/npafcb7/6a4ddpde4" TargetMode="External" /><Relationship Type="http://schemas.openxmlformats.org/officeDocument/2006/relationships/hyperlink" Id="rId45" Target="https://doi.org/10.23849/npafcb7/x3rlpo23a" TargetMode="External" /><Relationship Type="http://schemas.openxmlformats.org/officeDocument/2006/relationships/hyperlink" Id="rId83" Target="https://doi.org/10.3390/su5020478" TargetMode="External" /><Relationship Type="http://schemas.openxmlformats.org/officeDocument/2006/relationships/hyperlink" Id="rId98" Target="https://doi.org/10.5281/zenodo.14194638" TargetMode="External" /><Relationship Type="http://schemas.openxmlformats.org/officeDocument/2006/relationships/hyperlink" Id="rId71" Target="https://doi.org/10.5334/dsj-2018-015" TargetMode="External" /><Relationship Type="http://schemas.openxmlformats.org/officeDocument/2006/relationships/hyperlink" Id="rId43" Target="https://doi.org/10.5334/dsj-2019-031" TargetMode="External" /><Relationship Type="http://schemas.openxmlformats.org/officeDocument/2006/relationships/hyperlink" Id="rId41" Target="https://doi.org/10.5334/dsj-2020-043" TargetMode="External" /><Relationship Type="http://schemas.openxmlformats.org/officeDocument/2006/relationships/hyperlink" Id="rId53" Target="https://doi.org/10.5751/ES-12117-260226" TargetMode="External" /><Relationship Type="http://schemas.openxmlformats.org/officeDocument/2006/relationships/hyperlink" Id="rId108" Target="https://dwc.tdwg.org/" TargetMode="External" /><Relationship Type="http://schemas.openxmlformats.org/officeDocument/2006/relationships/hyperlink" Id="rId140" Target="https://eml.ecoinformatics.org/" TargetMode="External" /><Relationship Type="http://schemas.openxmlformats.org/officeDocument/2006/relationships/hyperlink" Id="rId149" Target="https://fastapi.tiangolo.com" TargetMode="External" /><Relationship Type="http://schemas.openxmlformats.org/officeDocument/2006/relationships/hyperlink" Id="rId93" Target="https://fisheriesservices.nwifc.org/" TargetMode="External" /><Relationship Type="http://schemas.openxmlformats.org/officeDocument/2006/relationships/hyperlink" Id="rId150" Target="https://flask.palletsprojects.com" TargetMode="External" /><Relationship Type="http://schemas.openxmlformats.org/officeDocument/2006/relationships/hyperlink" Id="rId152" Target="https://guides.github.com/activities/citable-code/" TargetMode="External" /><Relationship Type="http://schemas.openxmlformats.org/officeDocument/2006/relationships/hyperlink" Id="rId61" Target="https://localcontexts.org/" TargetMode="External" /><Relationship Type="http://schemas.openxmlformats.org/officeDocument/2006/relationships/hyperlink" Id="rId141" Target="https://marinedata.psf.ca" TargetMode="External" /><Relationship Type="http://schemas.openxmlformats.org/officeDocument/2006/relationships/hyperlink" Id="rId142" Target="https://obis.org/dataset/81a9b931-8f47-49c4-94ff-0e46d7e9f1c9" TargetMode="External" /><Relationship Type="http://schemas.openxmlformats.org/officeDocument/2006/relationships/hyperlink" Id="rId145" Target="https://orcid.org" TargetMode="External" /><Relationship Type="http://schemas.openxmlformats.org/officeDocument/2006/relationships/hyperlink" Id="rId102" Target="https://orcid.org/" TargetMode="External" /><Relationship Type="http://schemas.openxmlformats.org/officeDocument/2006/relationships/hyperlink" Id="rId124" Target="https://pnamp.org/event/workshop-fishing-for-clarity-knowledge-modeling-to-support-cross-organizational-collaboration-and-data-sharing-about-salmon-escapement/" TargetMode="External" /><Relationship Type="http://schemas.openxmlformats.org/officeDocument/2006/relationships/hyperlink" Id="rId49" Target="https://psc1.shinyapps.io/PSC_In_Season_Fraser/" TargetMode="External" /><Relationship Type="http://schemas.openxmlformats.org/officeDocument/2006/relationships/hyperlink" Id="rId91" Target="https://raw.githubusercontent.com/Br-Johnson/sdm-paper/refs/heads/main/examples/Cal_DMP.pdf" TargetMode="External" /><Relationship Type="http://schemas.openxmlformats.org/officeDocument/2006/relationships/hyperlink" Id="rId158" Target="https://rd-alliance.org/groups/salmon-data-management" TargetMode="External" /><Relationship Type="http://schemas.openxmlformats.org/officeDocument/2006/relationships/hyperlink" Id="rId131" Target="https://roadmap.sh" TargetMode="External" /><Relationship Type="http://schemas.openxmlformats.org/officeDocument/2006/relationships/hyperlink" Id="rId146" Target="https://ror.org" TargetMode="External" /><Relationship Type="http://schemas.openxmlformats.org/officeDocument/2006/relationships/hyperlink" Id="rId103" Target="https://ror.org/search?page=1&amp;query=salmon" TargetMode="External" /><Relationship Type="http://schemas.openxmlformats.org/officeDocument/2006/relationships/hyperlink" Id="rId125" Target="https://salmonprize.com" TargetMode="External" /><Relationship Type="http://schemas.openxmlformats.org/officeDocument/2006/relationships/hyperlink" Id="rId111" Target="https://wdfw.wa.gov/fishing/management/hatcheries/escapement#definitions" TargetMode="External" /><Relationship Type="http://schemas.openxmlformats.org/officeDocument/2006/relationships/hyperlink" Id="rId137" Target="https://www.atlassian.com/team-playbook/plays/daci" TargetMode="External" /><Relationship Type="http://schemas.openxmlformats.org/officeDocument/2006/relationships/hyperlink" Id="rId120" Target="https://www.countermetrics.org/" TargetMode="External" /><Relationship Type="http://schemas.openxmlformats.org/officeDocument/2006/relationships/hyperlink" Id="rId163" Target="https://www.coursera.org/learn/data-management" TargetMode="External" /><Relationship Type="http://schemas.openxmlformats.org/officeDocument/2006/relationships/hyperlink" Id="rId165" Target="https://www.dataone.org/resources/" TargetMode="External" /><Relationship Type="http://schemas.openxmlformats.org/officeDocument/2006/relationships/hyperlink" Id="rId151" Target="https://www.django-rest-framework.org" TargetMode="External" /><Relationship Type="http://schemas.openxmlformats.org/officeDocument/2006/relationships/hyperlink" Id="rId162" Target="https://www.fosteropenscience.eu/toolkit" TargetMode="External" /><Relationship Type="http://schemas.openxmlformats.org/officeDocument/2006/relationships/hyperlink" Id="rId112" Target="https://www.fpc.org/111_sharedfiles/ColumbiaRiverBasinAdultFishPassageCountsMetadata.pdf" TargetMode="External" /><Relationship Type="http://schemas.openxmlformats.org/officeDocument/2006/relationships/hyperlink" Id="rId109" Target="https://www.gbif.org/dataset/72de3af4-1572-4f2d-8006-2bfa2007065c" TargetMode="External" /><Relationship Type="http://schemas.openxmlformats.org/officeDocument/2006/relationships/hyperlink" Id="rId110" Target="https://www.gbif.org/dataset/search?project_id=IYS" TargetMode="External" /><Relationship Type="http://schemas.openxmlformats.org/officeDocument/2006/relationships/hyperlink" Id="rId133" Target="https://www.gida-global.org/care" TargetMode="External" /><Relationship Type="http://schemas.openxmlformats.org/officeDocument/2006/relationships/hyperlink" Id="rId132" Target="https://www.go-fair.org/fair-principles/" TargetMode="External" /><Relationship Type="http://schemas.openxmlformats.org/officeDocument/2006/relationships/hyperlink" Id="rId134" Target="https://www.go-fair.org/resources/videos/fair-principles-explained/" TargetMode="External" /><Relationship Type="http://schemas.openxmlformats.org/officeDocument/2006/relationships/hyperlink" Id="rId159" Target="https://www.interaction-design.org/literature/topics/user-centered-design" TargetMode="External" /><Relationship Type="http://schemas.openxmlformats.org/officeDocument/2006/relationships/hyperlink" Id="rId139" Target="https://www.iso.org/standard/53798.html" TargetMode="External" /><Relationship Type="http://schemas.openxmlformats.org/officeDocument/2006/relationships/hyperlink" Id="rId69" Target="https://www.noaa.gov/sites/default/files/2025-03/NAO_212-15B_-_Data_Management_Handbook.pdf" TargetMode="External" /><Relationship Type="http://schemas.openxmlformats.org/officeDocument/2006/relationships/hyperlink" Id="rId155" Target="https://www.projectcounter.org/" TargetMode="External" /><Relationship Type="http://schemas.openxmlformats.org/officeDocument/2006/relationships/hyperlink" Id="rId94" Target="https://www.psc.org/membership-lists/" TargetMode="External" /><Relationship Type="http://schemas.openxmlformats.org/officeDocument/2006/relationships/hyperlink" Id="rId47" Target="https://www.psc.org/wp-content/uploads/wpfd/preview_files/The-Sociocultural-Significance-of-Salmon-to-Tribes-and-First-Nations(5da9942da9fb4fe0d77eb32bd6165e43).pdf" TargetMode="External" /><Relationship Type="http://schemas.openxmlformats.org/officeDocument/2006/relationships/hyperlink" Id="rId115" Target="https://www.psmfc.org/program/pit-tag-information-systems-ptagis" TargetMode="External" /><Relationship Type="http://schemas.openxmlformats.org/officeDocument/2006/relationships/hyperlink" Id="rId123" Target="https://www.rd-alliance.org/groups/salmon-research-and-monitoring-ig/" TargetMode="External" /><Relationship Type="http://schemas.openxmlformats.org/officeDocument/2006/relationships/hyperlink" Id="rId160" Target="https://www.uvic.ca/research/assets/docs/Community-Engaged-Research.pdf" TargetMode="External" /></Relationships>
</file>

<file path=word/_rels/footnotes.xml.rels><?xml version="1.0" encoding="UTF-8"?><Relationships xmlns="http://schemas.openxmlformats.org/package/2006/relationships"><Relationship Type="http://schemas.openxmlformats.org/officeDocument/2006/relationships/hyperlink" Id="rId63" Target="http://www.cohencommission.ca/" TargetMode="External" /><Relationship Type="http://schemas.openxmlformats.org/officeDocument/2006/relationships/hyperlink" Id="rId116" Target="https://api.ptagis.org/index.html#:~:text=PTAGIS%20API%20Gets%20a%20list,PTAGIS%20and%20currently%20contributing%20data" TargetMode="External" /><Relationship Type="http://schemas.openxmlformats.org/officeDocument/2006/relationships/hyperlink" Id="rId147" Target="https://blog.datacite.org/" TargetMode="External" /><Relationship Type="http://schemas.openxmlformats.org/officeDocument/2006/relationships/hyperlink" Id="rId164" Target="https://blog.okfn.org/" TargetMode="External" /><Relationship Type="http://schemas.openxmlformats.org/officeDocument/2006/relationships/hyperlink" Id="rId51" Target="https://books.google.ca/books?id=I_S0xCME0CYC" TargetMode="External" /><Relationship Type="http://schemas.openxmlformats.org/officeDocument/2006/relationships/hyperlink" Id="rId126" Target="https://br-johnson.github.io/sdm-paper/appendices/appendix-1-real-world-examples-preview.html#f74d3bc4-54eb-4715-971f-d77b337c50f9" TargetMode="External" /><Relationship Type="http://schemas.openxmlformats.org/officeDocument/2006/relationships/hyperlink" Id="rId166" Target="https://br-johnson.github.io/sdm-paper/appendices/appendix-2-training-roadmap-preview.html#718196ae-8a7f-4f9d-94a8-00b0045c1356" TargetMode="External" /><Relationship Type="http://schemas.openxmlformats.org/officeDocument/2006/relationships/hyperlink" Id="rId202" Target="https://br-johnson.github.io/sdm-paper/appendices/appendix-3-getting-started-checklist-preview.html#ed8748e7-1461-446c-a601-f2e142e8c505" TargetMode="External" /><Relationship Type="http://schemas.openxmlformats.org/officeDocument/2006/relationships/hyperlink" Id="rId104" Target="https://commons.datacite.org/ror.org/04901nj56" TargetMode="External" /><Relationship Type="http://schemas.openxmlformats.org/officeDocument/2006/relationships/hyperlink" Id="rId154" Target="https://creativecommons.org/licenses/by/4.0/" TargetMode="External" /><Relationship Type="http://schemas.openxmlformats.org/officeDocument/2006/relationships/hyperlink" Id="rId119" Target="https://creativecommons.org/licenses/by/4.0/deed.en" TargetMode="External" /><Relationship Type="http://schemas.openxmlformats.org/officeDocument/2006/relationships/hyperlink" Id="rId105" Target="https://data.npafc.org" TargetMode="External" /><Relationship Type="http://schemas.openxmlformats.org/officeDocument/2006/relationships/hyperlink" Id="rId99" Target="https://data.salmonwatersheds.ca/result?datasetid=2" TargetMode="External" /><Relationship Type="http://schemas.openxmlformats.org/officeDocument/2006/relationships/hyperlink" Id="rId144" Target="https://datacite.org" TargetMode="External" /><Relationship Type="http://schemas.openxmlformats.org/officeDocument/2006/relationships/hyperlink" Id="rId156" Target="https://datacite.org/service.html" TargetMode="External" /><Relationship Type="http://schemas.openxmlformats.org/officeDocument/2006/relationships/hyperlink" Id="rId136" Target="https://dmptool.org" TargetMode="External" /><Relationship Type="http://schemas.openxmlformats.org/officeDocument/2006/relationships/hyperlink" Id="rId92" Target="https://dmptool.org/public_templates?page=ALL" TargetMode="External" /><Relationship Type="http://schemas.openxmlformats.org/officeDocument/2006/relationships/hyperlink" Id="rId79" Target="https://doi.org/10.1007/s00267-014-0258-2" TargetMode="External" /><Relationship Type="http://schemas.openxmlformats.org/officeDocument/2006/relationships/hyperlink" Id="rId75" Target="https://doi.org/10.1016/c2012-0-07057-3" TargetMode="External" /><Relationship Type="http://schemas.openxmlformats.org/officeDocument/2006/relationships/hyperlink" Id="rId55" Target="https://doi.org/10.1038/s41559-023-02161-2" TargetMode="External" /><Relationship Type="http://schemas.openxmlformats.org/officeDocument/2006/relationships/hyperlink" Id="rId85" Target="https://doi.org/10.1038/sdata.2016.18" TargetMode="External" /><Relationship Type="http://schemas.openxmlformats.org/officeDocument/2006/relationships/hyperlink" Id="rId39" Target="https://doi.org/10.1093/icesjms/fsac099" TargetMode="External" /><Relationship Type="http://schemas.openxmlformats.org/officeDocument/2006/relationships/hyperlink" Id="rId81" Target="https://doi.org/10.1101/2025.03.14.643022" TargetMode="External" /><Relationship Type="http://schemas.openxmlformats.org/officeDocument/2006/relationships/hyperlink" Id="rId65" Target="https://doi.org/10.1108/jd-08-2018-0124" TargetMode="External" /><Relationship Type="http://schemas.openxmlformats.org/officeDocument/2006/relationships/hyperlink" Id="rId59" Target="https://doi.org/10.1111/j.1442-9993.2011.02351.x" TargetMode="External" /><Relationship Type="http://schemas.openxmlformats.org/officeDocument/2006/relationships/hyperlink" Id="rId73" Target="https://doi.org/10.1139/f2012-063" TargetMode="External" /><Relationship Type="http://schemas.openxmlformats.org/officeDocument/2006/relationships/hyperlink" Id="rId77" Target="https://doi.org/10.1139/facets-2020-0008" TargetMode="External" /><Relationship Type="http://schemas.openxmlformats.org/officeDocument/2006/relationships/hyperlink" Id="rId97" Target="https://doi.org/10.14286/duc6mu" TargetMode="External" /><Relationship Type="http://schemas.openxmlformats.org/officeDocument/2006/relationships/hyperlink" Id="rId67" Target="https://doi.org/10.17226/12017" TargetMode="External" /><Relationship Type="http://schemas.openxmlformats.org/officeDocument/2006/relationships/hyperlink" Id="rId57" Target="https://doi.org/10.23849/npafcb7/6a4ddpde4" TargetMode="External" /><Relationship Type="http://schemas.openxmlformats.org/officeDocument/2006/relationships/hyperlink" Id="rId45" Target="https://doi.org/10.23849/npafcb7/x3rlpo23a" TargetMode="External" /><Relationship Type="http://schemas.openxmlformats.org/officeDocument/2006/relationships/hyperlink" Id="rId83" Target="https://doi.org/10.3390/su5020478" TargetMode="External" /><Relationship Type="http://schemas.openxmlformats.org/officeDocument/2006/relationships/hyperlink" Id="rId98" Target="https://doi.org/10.5281/zenodo.14194638" TargetMode="External" /><Relationship Type="http://schemas.openxmlformats.org/officeDocument/2006/relationships/hyperlink" Id="rId71" Target="https://doi.org/10.5334/dsj-2018-015" TargetMode="External" /><Relationship Type="http://schemas.openxmlformats.org/officeDocument/2006/relationships/hyperlink" Id="rId43" Target="https://doi.org/10.5334/dsj-2019-031" TargetMode="External" /><Relationship Type="http://schemas.openxmlformats.org/officeDocument/2006/relationships/hyperlink" Id="rId41" Target="https://doi.org/10.5334/dsj-2020-043" TargetMode="External" /><Relationship Type="http://schemas.openxmlformats.org/officeDocument/2006/relationships/hyperlink" Id="rId53" Target="https://doi.org/10.5751/ES-12117-260226" TargetMode="External" /><Relationship Type="http://schemas.openxmlformats.org/officeDocument/2006/relationships/hyperlink" Id="rId108" Target="https://dwc.tdwg.org/" TargetMode="External" /><Relationship Type="http://schemas.openxmlformats.org/officeDocument/2006/relationships/hyperlink" Id="rId140" Target="https://eml.ecoinformatics.org/" TargetMode="External" /><Relationship Type="http://schemas.openxmlformats.org/officeDocument/2006/relationships/hyperlink" Id="rId149" Target="https://fastapi.tiangolo.com" TargetMode="External" /><Relationship Type="http://schemas.openxmlformats.org/officeDocument/2006/relationships/hyperlink" Id="rId93" Target="https://fisheriesservices.nwifc.org/" TargetMode="External" /><Relationship Type="http://schemas.openxmlformats.org/officeDocument/2006/relationships/hyperlink" Id="rId150" Target="https://flask.palletsprojects.com" TargetMode="External" /><Relationship Type="http://schemas.openxmlformats.org/officeDocument/2006/relationships/hyperlink" Id="rId152" Target="https://guides.github.com/activities/citable-code/" TargetMode="External" /><Relationship Type="http://schemas.openxmlformats.org/officeDocument/2006/relationships/hyperlink" Id="rId61" Target="https://localcontexts.org/" TargetMode="External" /><Relationship Type="http://schemas.openxmlformats.org/officeDocument/2006/relationships/hyperlink" Id="rId141" Target="https://marinedata.psf.ca" TargetMode="External" /><Relationship Type="http://schemas.openxmlformats.org/officeDocument/2006/relationships/hyperlink" Id="rId142" Target="https://obis.org/dataset/81a9b931-8f47-49c4-94ff-0e46d7e9f1c9" TargetMode="External" /><Relationship Type="http://schemas.openxmlformats.org/officeDocument/2006/relationships/hyperlink" Id="rId145" Target="https://orcid.org" TargetMode="External" /><Relationship Type="http://schemas.openxmlformats.org/officeDocument/2006/relationships/hyperlink" Id="rId102" Target="https://orcid.org/" TargetMode="External" /><Relationship Type="http://schemas.openxmlformats.org/officeDocument/2006/relationships/hyperlink" Id="rId124" Target="https://pnamp.org/event/workshop-fishing-for-clarity-knowledge-modeling-to-support-cross-organizational-collaboration-and-data-sharing-about-salmon-escapement/" TargetMode="External" /><Relationship Type="http://schemas.openxmlformats.org/officeDocument/2006/relationships/hyperlink" Id="rId49" Target="https://psc1.shinyapps.io/PSC_In_Season_Fraser/" TargetMode="External" /><Relationship Type="http://schemas.openxmlformats.org/officeDocument/2006/relationships/hyperlink" Id="rId91" Target="https://raw.githubusercontent.com/Br-Johnson/sdm-paper/refs/heads/main/examples/Cal_DMP.pdf" TargetMode="External" /><Relationship Type="http://schemas.openxmlformats.org/officeDocument/2006/relationships/hyperlink" Id="rId158" Target="https://rd-alliance.org/groups/salmon-data-management" TargetMode="External" /><Relationship Type="http://schemas.openxmlformats.org/officeDocument/2006/relationships/hyperlink" Id="rId131" Target="https://roadmap.sh" TargetMode="External" /><Relationship Type="http://schemas.openxmlformats.org/officeDocument/2006/relationships/hyperlink" Id="rId146" Target="https://ror.org" TargetMode="External" /><Relationship Type="http://schemas.openxmlformats.org/officeDocument/2006/relationships/hyperlink" Id="rId103" Target="https://ror.org/search?page=1&amp;query=salmon" TargetMode="External" /><Relationship Type="http://schemas.openxmlformats.org/officeDocument/2006/relationships/hyperlink" Id="rId125" Target="https://salmonprize.com" TargetMode="External" /><Relationship Type="http://schemas.openxmlformats.org/officeDocument/2006/relationships/hyperlink" Id="rId111" Target="https://wdfw.wa.gov/fishing/management/hatcheries/escapement#definitions" TargetMode="External" /><Relationship Type="http://schemas.openxmlformats.org/officeDocument/2006/relationships/hyperlink" Id="rId137" Target="https://www.atlassian.com/team-playbook/plays/daci" TargetMode="External" /><Relationship Type="http://schemas.openxmlformats.org/officeDocument/2006/relationships/hyperlink" Id="rId120" Target="https://www.countermetrics.org/" TargetMode="External" /><Relationship Type="http://schemas.openxmlformats.org/officeDocument/2006/relationships/hyperlink" Id="rId163" Target="https://www.coursera.org/learn/data-management" TargetMode="External" /><Relationship Type="http://schemas.openxmlformats.org/officeDocument/2006/relationships/hyperlink" Id="rId165" Target="https://www.dataone.org/resources/" TargetMode="External" /><Relationship Type="http://schemas.openxmlformats.org/officeDocument/2006/relationships/hyperlink" Id="rId151" Target="https://www.django-rest-framework.org" TargetMode="External" /><Relationship Type="http://schemas.openxmlformats.org/officeDocument/2006/relationships/hyperlink" Id="rId162" Target="https://www.fosteropenscience.eu/toolkit" TargetMode="External" /><Relationship Type="http://schemas.openxmlformats.org/officeDocument/2006/relationships/hyperlink" Id="rId112" Target="https://www.fpc.org/111_sharedfiles/ColumbiaRiverBasinAdultFishPassageCountsMetadata.pdf" TargetMode="External" /><Relationship Type="http://schemas.openxmlformats.org/officeDocument/2006/relationships/hyperlink" Id="rId109" Target="https://www.gbif.org/dataset/72de3af4-1572-4f2d-8006-2bfa2007065c" TargetMode="External" /><Relationship Type="http://schemas.openxmlformats.org/officeDocument/2006/relationships/hyperlink" Id="rId110" Target="https://www.gbif.org/dataset/search?project_id=IYS" TargetMode="External" /><Relationship Type="http://schemas.openxmlformats.org/officeDocument/2006/relationships/hyperlink" Id="rId133" Target="https://www.gida-global.org/care" TargetMode="External" /><Relationship Type="http://schemas.openxmlformats.org/officeDocument/2006/relationships/hyperlink" Id="rId132" Target="https://www.go-fair.org/fair-principles/" TargetMode="External" /><Relationship Type="http://schemas.openxmlformats.org/officeDocument/2006/relationships/hyperlink" Id="rId134" Target="https://www.go-fair.org/resources/videos/fair-principles-explained/" TargetMode="External" /><Relationship Type="http://schemas.openxmlformats.org/officeDocument/2006/relationships/hyperlink" Id="rId159" Target="https://www.interaction-design.org/literature/topics/user-centered-design" TargetMode="External" /><Relationship Type="http://schemas.openxmlformats.org/officeDocument/2006/relationships/hyperlink" Id="rId139" Target="https://www.iso.org/standard/53798.html" TargetMode="External" /><Relationship Type="http://schemas.openxmlformats.org/officeDocument/2006/relationships/hyperlink" Id="rId69" Target="https://www.noaa.gov/sites/default/files/2025-03/NAO_212-15B_-_Data_Management_Handbook.pdf" TargetMode="External" /><Relationship Type="http://schemas.openxmlformats.org/officeDocument/2006/relationships/hyperlink" Id="rId155" Target="https://www.projectcounter.org/" TargetMode="External" /><Relationship Type="http://schemas.openxmlformats.org/officeDocument/2006/relationships/hyperlink" Id="rId94" Target="https://www.psc.org/membership-lists/" TargetMode="External" /><Relationship Type="http://schemas.openxmlformats.org/officeDocument/2006/relationships/hyperlink" Id="rId47" Target="https://www.psc.org/wp-content/uploads/wpfd/preview_files/The-Sociocultural-Significance-of-Salmon-to-Tribes-and-First-Nations(5da9942da9fb4fe0d77eb32bd6165e43).pdf" TargetMode="External" /><Relationship Type="http://schemas.openxmlformats.org/officeDocument/2006/relationships/hyperlink" Id="rId115" Target="https://www.psmfc.org/program/pit-tag-information-systems-ptagis" TargetMode="External" /><Relationship Type="http://schemas.openxmlformats.org/officeDocument/2006/relationships/hyperlink" Id="rId123" Target="https://www.rd-alliance.org/groups/salmon-research-and-monitoring-ig/" TargetMode="External" /><Relationship Type="http://schemas.openxmlformats.org/officeDocument/2006/relationships/hyperlink" Id="rId160" Target="https://www.uvic.ca/research/assets/docs/Community-Engaged-Research.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Data Stewardship for Salmon Biologists</dc:title>
  <dc:creator/>
  <cp:keywords/>
  <dcterms:created xsi:type="dcterms:W3CDTF">2025-12-30T19:21:30Z</dcterms:created>
  <dcterms:modified xsi:type="dcterms:W3CDTF">2025-12-30T19:21:30Z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style">
    <vt:lpwstr>plain</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DRAFT A Blueprint for Domain-Specific Best Practices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