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DRAFT A Blueprint for Domain-Specific Best Practices</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w:t>
      </w:r>
    </w:p>
    <w:bookmarkEnd w:id="20"/>
    <w:bookmarkStart w:id="24"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Marmorek et al. (2011)</w:t>
      </w:r>
      <w:r>
        <w:t xml:space="preserve">;</w:t>
      </w:r>
      <w:r>
        <w:t xml:space="preserve"> </w:t>
      </w:r>
      <w:r>
        <w:t xml:space="preserve">Inman et al. (2021)</w:t>
      </w:r>
      <w:r>
        <w:t xml:space="preserve">;</w:t>
      </w:r>
      <w:r>
        <w:t xml:space="preserve"> </w:t>
      </w:r>
      <w:r>
        <w:t xml:space="preserve">Diack et al. (2024)</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1"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and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t xml:space="preserve">“Fraser</w:t>
      </w:r>
      <w:r>
        <w:t xml:space="preserve"> </w:t>
      </w:r>
      <w:r>
        <w:t xml:space="preserve">River</w:t>
      </w:r>
      <w:r>
        <w:t xml:space="preserve"> </w:t>
      </w:r>
      <w:r>
        <w:t xml:space="preserve">Panel</w:t>
      </w:r>
      <w:r>
        <w:t xml:space="preserve"> </w:t>
      </w:r>
      <w:r>
        <w:t xml:space="preserve">Data</w:t>
      </w:r>
      <w:r>
        <w:t xml:space="preserve"> </w:t>
      </w:r>
      <w:r>
        <w:t xml:space="preserve">Application</w:t>
      </w:r>
      <w:r>
        <w:t xml:space="preserve">”</w:t>
      </w:r>
      <w:r>
        <w:t xml:space="preserve"> </w:t>
      </w:r>
      <w:r>
        <w:t xml:space="preserve">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reproducibility,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lose valuable time trying to reconstruct or harmonize them. This reduces transparency, increases the risk of errors, delays urgent conservation or management responses, which in turn undermines the public trust in both the science and the resulting management decisions.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1"/>
    <w:bookmarkStart w:id="22" w:name="coordinated-data-stewardship"/>
    <w:p>
      <w:pPr>
        <w:pStyle w:val="Heading3"/>
      </w:pPr>
      <w:r>
        <w:t xml:space="preserve">Coordinated Data Stewardship</w:t>
      </w:r>
    </w:p>
    <w:p>
      <w:pPr>
        <w:pStyle w:val="FirstParagraph"/>
      </w:pPr>
      <w:r>
        <w:t xml:space="preserve">Data stewardship offers to face the growing challenges in salmon management from escalating environmental uncertainties due to climate change which demands rapid, regionally integrated, and robust data</w:t>
      </w:r>
      <w:r>
        <w:t xml:space="preserve"> </w:t>
      </w:r>
      <w:r>
        <w:t xml:space="preserve">Ward et al. (2025)</w:t>
      </w:r>
      <w:r>
        <w:t xml:space="preserv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ofteno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both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While both FAIR and CARE present laudable goals with respect to data stewardship, these sets of principles can sometimes be at odds with each other and implementing both presents an inherent challenge.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w:t>
      </w:r>
      <w:r>
        <w:t xml:space="preserve"> </w:t>
      </w:r>
      <w:hyperlink w:anchor="tbl-bestpractices">
        <w:r>
          <w:rPr>
            <w:rStyle w:val="Hyperlink"/>
          </w:rPr>
          <w:t xml:space="preserve">Table 1</w:t>
        </w:r>
      </w:hyperlink>
      <w:r>
        <w:t xml:space="preserve"> </w:t>
      </w:r>
      <w:r>
        <w:t xml:space="preserve">and use a retrospective, real-world case study of cross-jurisdictional sockeye productivity synthesis</w:t>
      </w:r>
      <w:r>
        <w:t xml:space="preserve"> </w:t>
      </w:r>
      <w:r>
        <w:t xml:space="preserve">(Peterman and Dorner 2012)</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We also map the seven practices to widely used data-lifecycle model</w:t>
      </w:r>
      <w:r>
        <w:t xml:space="preserve"> </w:t>
      </w:r>
      <w:hyperlink w:anchor="tbl-lifecycle">
        <w:r>
          <w:rPr>
            <w:rStyle w:val="Hyperlink"/>
          </w:rPr>
          <w:t xml:space="preserve">Table 2</w:t>
        </w:r>
      </w:hyperlink>
      <w:r>
        <w:t xml:space="preserve"> </w:t>
      </w:r>
      <w:r>
        <w:t xml:space="preserve">to make adaptation straightforward outside salmon contexts. Although salmon provide the worked example, the approach is intended as a transferable blueprint: other scientific communities can substitute their own vocabularies, repositories, governance structures, and incentives to turn data stewardship principles in to practical applications.</w:t>
      </w:r>
    </w:p>
    <w:p>
      <w:pPr>
        <w:pStyle w:val="BodyText"/>
      </w:pPr>
      <w:r>
        <w:t xml:space="preserve">A coordinated approach to stewarding salmon data should follow established open science standards and principles</w:t>
      </w:r>
      <w:r>
        <w:t xml:space="preserve"> </w:t>
      </w:r>
      <w:r>
        <w:t xml:space="preserve">(Johnson and Stap 2024; Wilkinson et al. 2016; Carroll et al. 2020)</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domain-specific terms and methods, ensuring data remains meaningful and usable across contexts. Salmon data stewards can improve outcomes for salmon by coordinating across boundaries to develop a shared foundation of data stewardship practices. To address these foundational challenges, we must establish clear data stewardship roles and practices that span the entire data lifecycle and salmon lifecycle—from collection and documentation through integration, long-term preservation, and reuse and from gravel to estuary and the high seas back to the gravel.</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data-intensive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(Montenegro 2019; Local Contexts 2025)</w:t>
      </w:r>
      <w:r>
        <w:t xml:space="preserv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productivity dataset assembled from several agency sources by academic researchers</w:t>
      </w:r>
      <w:r>
        <w:t xml:space="preserve"> </w:t>
      </w:r>
      <w:r>
        <w:t xml:space="preserve">(Peterman and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and Dorner 2012)</w:t>
      </w:r>
      <w:r>
        <w:t xml:space="preserve">. This work was important for sockeye conservation and management in that it pointed to common, broad-scale marine trends in sockeye salmon productivity, rather than idiosyncratic stock-specific, freshwater effects—an insight not accessible without a monumental data integration effort. Attempting to replicate or build upon this analysis today is an arduous, time-consuming, and error-prone endeavour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1</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organization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organizational data repositories or catalogues that make data discoverable using PIDs and provide programmatic access to data possible using APIs.</w:t>
      </w:r>
    </w:p>
    <w:bookmarkEnd w:id="30"/>
    <w:bookmarkStart w:id="32"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1</w:t>
        </w:r>
      </w:hyperlink>
      <w:r>
        <w:t xml:space="preserve">, organizations and researchers can transform legacy datasets into living resources, enabling reuse,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31" w:name="tbl-bestpractices"/>
          <w:p>
            <w:pPr>
              <w:jc w:val="center"/>
            </w:pPr>
            <w:pPr>
              <w:jc w:val="left"/>
              <w:spacing w:before="200"/>
              <w:pStyle w:val="ImageCaption"/>
            </w:pPr>
            <w:r>
              <w:t xml:space="preserve">Table 1: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Start here</w:t>
                  </w:r>
                </w:p>
              </w:tc>
            </w:tr>
            <w:tr>
              <w:tc>
                <w:tcPr/>
                <w:p>
                  <w:pPr>
                    <w:pStyle w:val="Compact"/>
                    <w:jc w:val="lef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jc w:val="left"/>
                    <w:jc w:val="center"/>
                  </w:pPr>
                  <w:r>
                    <w:t xml:space="preserve">- Document roles and responsibilities using a Data Product Governance Charter and structured responsibility frameworks.</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jc w:val="left"/>
                    <w:jc w:val="center"/>
                  </w:pPr>
                  <w:r>
                    <w:t xml:space="preserve">- Use domain-specific repositories</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jc w:val="left"/>
                    <w:jc w:val="center"/>
                  </w:pPr>
                  <w:r>
                    <w:t xml:space="preserve">- Encourage use of ORCIDs for researchers.</w:t>
                  </w:r>
                </w:p>
                <w:p>
                  <w:pPr>
                    <w:jc w:val="left"/>
                    <w:jc w:val="center"/>
                  </w:pPr>
                  <w:r>
                    <w:t xml:space="preserve">- Use ROR IDs for organizations.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1"/>
          <w:p/>
        </w:tc>
      </w:tr>
    </w:tbl>
    <w:bookmarkEnd w:id="32"/>
    <w:bookmarkStart w:id="33"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2</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organizational capability rather than a project-specific task, requiring dedicated resources, trained personnel, and systematic processes that operate continuously across all data activities.</w:t>
      </w:r>
    </w:p>
    <w:bookmarkEnd w:id="33"/>
    <w:bookmarkStart w:id="35" w:name="X41d5d802aea738a2721b3675e20455972e3cb16"/>
    <w:p>
      <w:pPr>
        <w:pStyle w:val="Heading3"/>
      </w:pPr>
      <w:r>
        <w:t xml:space="preserve">How our seven practices align to the data lifecycle model</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2</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organizations.</w:t>
      </w:r>
    </w:p>
    <w:tbl>
      <w:tblPr>
        <w:tblStyle w:val="Table"/>
        <w:tblW w:type="pct" w:w="5000"/>
        <w:tblLayout w:type="fixed"/>
        <w:tblLook w:firstRow="0" w:lastRow="0" w:firstColumn="0" w:lastColumn="0" w:noHBand="0" w:noVBand="0" w:val="0000"/>
      </w:tblPr>
      <w:tblGrid>
        <w:gridCol w:w="7920"/>
      </w:tblGrid>
      <w:tr>
        <w:tc>
          <w:tcPr/>
          <w:bookmarkStart w:id="34" w:name="tbl-lifecycle"/>
          <w:p>
            <w:pPr>
              <w:jc w:val="center"/>
            </w:pPr>
            <w:pPr>
              <w:jc w:val="left"/>
              <w:spacing w:before="200"/>
              <w:pStyle w:val="ImageCaption"/>
            </w:pPr>
            <w:r>
              <w:t xml:space="preserve">Table 2: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4"/>
          <w:p/>
        </w:tc>
      </w:tr>
    </w:tbl>
    <w:bookmarkEnd w:id="35"/>
    <w:bookmarkEnd w:id="36"/>
    <w:bookmarkStart w:id="90"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one of the most impactful, near-term opportunities for improvement.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 substantial time and resources could have been saved. The case study offers a clear and cautionary tale, as well as a hopeful roadmap. Because data practices underpin nearly every analysis and decision, strengthening data stewardship is one of the most effective ways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one of the most critical organizational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p>
      <w:pPr>
        <w:pStyle w:val="Compact"/>
        <w:numPr>
          <w:ilvl w:val="0"/>
          <w:numId w:val="1005"/>
        </w:numPr>
      </w:pPr>
      <w:r>
        <w:t xml:space="preserve">Consider removing para 2 (Data Science adjancency) in Data Stewardship Defn</w:t>
      </w:r>
    </w:p>
    <w:p>
      <w:pPr>
        <w:pStyle w:val="Compact"/>
        <w:numPr>
          <w:ilvl w:val="0"/>
          <w:numId w:val="1005"/>
        </w:numPr>
      </w:pPr>
      <w:r>
        <w:t xml:space="preserve">Consider re-working table to replace practical applications column with</w:t>
      </w:r>
      <w:r>
        <w:t xml:space="preserve"> </w:t>
      </w:r>
      <w:r>
        <w:t xml:space="preserve">‘next step’</w:t>
      </w:r>
    </w:p>
    <w:p>
      <w:pPr>
        <w:pStyle w:val="Compact"/>
        <w:numPr>
          <w:ilvl w:val="0"/>
          <w:numId w:val="1005"/>
        </w:numPr>
      </w:pPr>
      <w:r>
        <w:t xml:space="preserve">Incorporate edits to Appendices from PSF folks</w:t>
      </w:r>
    </w:p>
    <w:p>
      <w:pPr>
        <w:pStyle w:val="Compact"/>
        <w:numPr>
          <w:ilvl w:val="0"/>
          <w:numId w:val="1005"/>
        </w:numPr>
      </w:pPr>
      <w:r>
        <w:t xml:space="preserve">Incorporate edits from Gottfried Pestal</w:t>
      </w:r>
    </w:p>
    <w:p>
      <w:pPr>
        <w:pStyle w:val="Compact"/>
        <w:numPr>
          <w:ilvl w:val="0"/>
          <w:numId w:val="1005"/>
        </w:numPr>
      </w:pPr>
      <w:r>
        <w:t xml:space="preserve">Update with links to DFO Salmon Ontology and Data Package Spec and Custom GPT</w:t>
      </w:r>
    </w:p>
    <w:p>
      <w:pPr>
        <w:pStyle w:val="Compact"/>
        <w:numPr>
          <w:ilvl w:val="0"/>
          <w:numId w:val="1005"/>
        </w:numPr>
      </w:pPr>
      <w:r>
        <w:t xml:space="preserve">Figure out where to cite</w:t>
      </w:r>
      <w:r>
        <w:t xml:space="preserve"> </w:t>
      </w:r>
      <w:hyperlink r:id="rId37">
        <w:r>
          <w:rPr>
            <w:rStyle w:val="Hyperlink"/>
          </w:rPr>
          <w:t xml:space="preserve">https://doi.org/10.1139/cjfas-2024-0387</w:t>
        </w:r>
      </w:hyperlink>
      <w:r>
        <w:t xml:space="preserve"> </w:t>
      </w:r>
      <w:r>
        <w:t xml:space="preserve">Atkinson et al 2025</w:t>
      </w:r>
    </w:p>
    <w:p>
      <w:pPr>
        <w:pStyle w:val="Compact"/>
        <w:numPr>
          <w:ilvl w:val="0"/>
          <w:numId w:val="1005"/>
        </w:numPr>
      </w:pPr>
      <w:r>
        <w:t xml:space="preserve">Cite Price et al 2025</w:t>
      </w:r>
    </w:p>
    <w:bookmarkStart w:id="38" w:name="competing-interests"/>
    <w:p>
      <w:pPr>
        <w:pStyle w:val="Heading3"/>
      </w:pPr>
      <w:r>
        <w:t xml:space="preserve">Competing interests</w:t>
      </w:r>
    </w:p>
    <w:bookmarkEnd w:id="38"/>
    <w:bookmarkStart w:id="39" w:name="acknowledgements"/>
    <w:p>
      <w:pPr>
        <w:pStyle w:val="Heading3"/>
      </w:pPr>
      <w:r>
        <w:t xml:space="preserve">Acknowledgements</w:t>
      </w:r>
    </w:p>
    <w:bookmarkEnd w:id="39"/>
    <w:bookmarkStart w:id="89" w:name="references"/>
    <w:p>
      <w:pPr>
        <w:pStyle w:val="Heading3"/>
      </w:pPr>
      <w:r>
        <w:t xml:space="preserve">References</w:t>
      </w:r>
    </w:p>
    <w:bookmarkStart w:id="88" w:name="refs"/>
    <w:bookmarkStart w:id="41"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40">
        <w:r>
          <w:rPr>
            <w:rStyle w:val="Hyperlink"/>
          </w:rPr>
          <w:t xml:space="preserve">https://doi.org/10.1093/icesjms/fsac099</w:t>
        </w:r>
      </w:hyperlink>
      <w:r>
        <w:t xml:space="preserve">.</w:t>
      </w:r>
    </w:p>
    <w:bookmarkEnd w:id="41"/>
    <w:bookmarkStart w:id="43" w:name="ref-carroll2020"/>
    <w:p>
      <w:pPr>
        <w:pStyle w:val="Bibliography"/>
      </w:pPr>
      <w:r>
        <w:t xml:space="preserve">Carroll, Stephanie Russo, Ibrahim Garba, Oscar L. Figueroa-Rodríguez, Jarita Holbrook, Raymond Lovett, Simeon Materechera, Mark Parsons, et al. 2020.</w:t>
      </w:r>
      <w:r>
        <w:t xml:space="preserve"> </w:t>
      </w:r>
      <w:r>
        <w:t xml:space="preserve">“The CARE Principles for Indigenous Data Governance.”</w:t>
      </w:r>
      <w:r>
        <w:t xml:space="preserve"> </w:t>
      </w:r>
      <w:r>
        <w:rPr>
          <w:i/>
          <w:iCs/>
        </w:rPr>
        <w:t xml:space="preserve">Data Science Journal</w:t>
      </w:r>
      <w:r>
        <w:t xml:space="preserve"> </w:t>
      </w:r>
      <w:r>
        <w:t xml:space="preserve">19.</w:t>
      </w:r>
      <w:r>
        <w:t xml:space="preserve"> </w:t>
      </w:r>
      <w:hyperlink r:id="rId42">
        <w:r>
          <w:rPr>
            <w:rStyle w:val="Hyperlink"/>
          </w:rPr>
          <w:t xml:space="preserve">https://doi.org/10.5334/dsj-2020-043</w:t>
        </w:r>
      </w:hyperlink>
      <w:r>
        <w:t xml:space="preserve">.</w:t>
      </w:r>
    </w:p>
    <w:bookmarkEnd w:id="43"/>
    <w:bookmarkStart w:id="45"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4">
        <w:r>
          <w:rPr>
            <w:rStyle w:val="Hyperlink"/>
          </w:rPr>
          <w:t xml:space="preserve">https://doi.org/10.5334/dsj-2019-031</w:t>
        </w:r>
      </w:hyperlink>
      <w:r>
        <w:t xml:space="preserve">.</w:t>
      </w:r>
    </w:p>
    <w:bookmarkEnd w:id="45"/>
    <w:bookmarkStart w:id="47"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6">
        <w:r>
          <w:rPr>
            <w:rStyle w:val="Hyperlink"/>
          </w:rPr>
          <w:t xml:space="preserve">https://doi.org/10.23849/npafcb7/x3rlpo23a</w:t>
        </w:r>
      </w:hyperlink>
      <w:r>
        <w:t xml:space="preserve">.</w:t>
      </w:r>
    </w:p>
    <w:bookmarkEnd w:id="47"/>
    <w:bookmarkStart w:id="49"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8">
        <w:r>
          <w:rPr>
            <w:rStyle w:val="Hyperlink"/>
          </w:rPr>
          <w:t xml:space="preserve">https://www.psc.org/wp-content/uploads/wpfd/preview_files/The-Sociocultural-Significance-of-Salmon-to-Tribes-and-First-Nations(5da9942da9fb4fe0d77eb32bd6165e43).pdf</w:t>
        </w:r>
      </w:hyperlink>
      <w:r>
        <w:t xml:space="preserve">.</w:t>
      </w:r>
    </w:p>
    <w:bookmarkEnd w:id="49"/>
    <w:bookmarkStart w:id="51" w:name="ref-noauthor_fraser_2025"/>
    <w:p>
      <w:pPr>
        <w:pStyle w:val="Bibliography"/>
      </w:pPr>
      <w:r>
        <w:t xml:space="preserve">“Fraser</w:t>
      </w:r>
      <w:r>
        <w:t xml:space="preserve"> </w:t>
      </w:r>
      <w:r>
        <w:t xml:space="preserve">River</w:t>
      </w:r>
      <w:r>
        <w:t xml:space="preserve"> </w:t>
      </w:r>
      <w:r>
        <w:t xml:space="preserve">Panel</w:t>
      </w:r>
      <w:r>
        <w:t xml:space="preserve"> </w:t>
      </w:r>
      <w:r>
        <w:t xml:space="preserve">Data</w:t>
      </w:r>
      <w:r>
        <w:t xml:space="preserve"> </w:t>
      </w:r>
      <w:r>
        <w:t xml:space="preserve">Application</w:t>
      </w:r>
      <w:r>
        <w:t xml:space="preserve">.”</w:t>
      </w:r>
      <w:r>
        <w:t xml:space="preserve"> </w:t>
      </w:r>
      <w:r>
        <w:t xml:space="preserve">2025. Pacific Salmon Commission.</w:t>
      </w:r>
      <w:r>
        <w:t xml:space="preserve"> </w:t>
      </w:r>
      <w:hyperlink r:id="rId50">
        <w:r>
          <w:rPr>
            <w:rStyle w:val="Hyperlink"/>
          </w:rPr>
          <w:t xml:space="preserve">https://psc1.shinyapps.io/PSC_In_Season_Fraser/</w:t>
        </w:r>
      </w:hyperlink>
      <w:r>
        <w:t xml:space="preserve">.</w:t>
      </w:r>
    </w:p>
    <w:bookmarkEnd w:id="51"/>
    <w:bookmarkStart w:id="53"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52">
        <w:r>
          <w:rPr>
            <w:rStyle w:val="Hyperlink"/>
          </w:rPr>
          <w:t xml:space="preserve">https://books.google.ca/books?id=I_S0xCME0CYC</w:t>
        </w:r>
      </w:hyperlink>
      <w:r>
        <w:t xml:space="preserve">.</w:t>
      </w:r>
    </w:p>
    <w:bookmarkEnd w:id="53"/>
    <w:bookmarkStart w:id="55"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54">
        <w:r>
          <w:rPr>
            <w:rStyle w:val="Hyperlink"/>
          </w:rPr>
          <w:t xml:space="preserve">https://doi.org/10.5751/ES-12117-260226</w:t>
        </w:r>
      </w:hyperlink>
      <w:r>
        <w:t xml:space="preserve">.</w:t>
      </w:r>
    </w:p>
    <w:bookmarkEnd w:id="55"/>
    <w:bookmarkStart w:id="57"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6">
        <w:r>
          <w:rPr>
            <w:rStyle w:val="Hyperlink"/>
          </w:rPr>
          <w:t xml:space="preserve">https://doi.org/10.1038/s41559-023-02161-2</w:t>
        </w:r>
      </w:hyperlink>
      <w:r>
        <w:t xml:space="preserve">.</w:t>
      </w:r>
    </w:p>
    <w:bookmarkEnd w:id="57"/>
    <w:bookmarkStart w:id="59"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8">
        <w:r>
          <w:rPr>
            <w:rStyle w:val="Hyperlink"/>
          </w:rPr>
          <w:t xml:space="preserve">https://doi.org/10.23849/npafcb7/6a4ddpde4</w:t>
        </w:r>
      </w:hyperlink>
      <w:r>
        <w:t xml:space="preserve">.</w:t>
      </w:r>
    </w:p>
    <w:bookmarkEnd w:id="59"/>
    <w:bookmarkStart w:id="61"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60">
        <w:r>
          <w:rPr>
            <w:rStyle w:val="Hyperlink"/>
          </w:rPr>
          <w:t xml:space="preserve">https://doi.org/10.1111/j.1442-9993.2011.02351.x</w:t>
        </w:r>
      </w:hyperlink>
      <w:r>
        <w:t xml:space="preserve">.</w:t>
      </w:r>
    </w:p>
    <w:bookmarkEnd w:id="61"/>
    <w:bookmarkStart w:id="63" w:name="ref-LocalContexts2025"/>
    <w:p>
      <w:pPr>
        <w:pStyle w:val="Bibliography"/>
      </w:pPr>
      <w:r>
        <w:t xml:space="preserve">Local Contexts. 2025.</w:t>
      </w:r>
      <w:r>
        <w:t xml:space="preserve"> </w:t>
      </w:r>
      <w:r>
        <w:t xml:space="preserve">“Local Contexts: Grounding Indigenous Rights in Data and Collections.”</w:t>
      </w:r>
      <w:r>
        <w:t xml:space="preserve"> </w:t>
      </w:r>
      <w:r>
        <w:t xml:space="preserve">Local Contexts</w:t>
      </w:r>
      <w:r>
        <w:t xml:space="preserve">. 2025.</w:t>
      </w:r>
      <w:r>
        <w:t xml:space="preserve"> </w:t>
      </w:r>
      <w:hyperlink r:id="rId62">
        <w:r>
          <w:rPr>
            <w:rStyle w:val="Hyperlink"/>
          </w:rPr>
          <w:t xml:space="preserve">https://localcontexts.org/</w:t>
        </w:r>
      </w:hyperlink>
      <w:r>
        <w:t xml:space="preserve">.</w:t>
      </w:r>
    </w:p>
    <w:bookmarkEnd w:id="63"/>
    <w:bookmarkStart w:id="65"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64">
        <w:r>
          <w:rPr>
            <w:rStyle w:val="Hyperlink"/>
          </w:rPr>
          <w:t xml:space="preserve">http://www.cohencommission.ca/</w:t>
        </w:r>
      </w:hyperlink>
      <w:r>
        <w:t xml:space="preserve">.</w:t>
      </w:r>
    </w:p>
    <w:bookmarkEnd w:id="65"/>
    <w:bookmarkStart w:id="67" w:name="ref-montenegro2019"/>
    <w:p>
      <w:pPr>
        <w:pStyle w:val="Bibliography"/>
      </w:pPr>
      <w:r>
        <w:t xml:space="preserve">Montenegro, María. 2019.</w:t>
      </w:r>
      <w:r>
        <w:t xml:space="preserve"> </w:t>
      </w:r>
      <w:r>
        <w:t xml:space="preserve">“Subverting the Universality of Metadata Standards.”</w:t>
      </w:r>
      <w:r>
        <w:t xml:space="preserve"> </w:t>
      </w:r>
      <w:r>
        <w:rPr>
          <w:i/>
          <w:iCs/>
        </w:rPr>
        <w:t xml:space="preserve">Journal of Documentation</w:t>
      </w:r>
      <w:r>
        <w:t xml:space="preserve"> </w:t>
      </w:r>
      <w:r>
        <w:t xml:space="preserve">75 (4): 731–49.</w:t>
      </w:r>
      <w:r>
        <w:t xml:space="preserve"> </w:t>
      </w:r>
      <w:hyperlink r:id="rId66">
        <w:r>
          <w:rPr>
            <w:rStyle w:val="Hyperlink"/>
          </w:rPr>
          <w:t xml:space="preserve">https://doi.org/10.1108/jd-08-2018-0124</w:t>
        </w:r>
      </w:hyperlink>
      <w:r>
        <w:t xml:space="preserve">.</w:t>
      </w:r>
    </w:p>
    <w:bookmarkEnd w:id="67"/>
    <w:bookmarkStart w:id="69"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68">
        <w:r>
          <w:rPr>
            <w:rStyle w:val="Hyperlink"/>
          </w:rPr>
          <w:t xml:space="preserve">https://doi.org/10.17226/12017</w:t>
        </w:r>
      </w:hyperlink>
      <w:r>
        <w:t xml:space="preserve">.</w:t>
      </w:r>
    </w:p>
    <w:bookmarkEnd w:id="69"/>
    <w:bookmarkStart w:id="71"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70">
        <w:r>
          <w:rPr>
            <w:rStyle w:val="Hyperlink"/>
          </w:rPr>
          <w:t xml:space="preserve">https://www.noaa.gov/sites/default/files/2025-03/NAO_212-15B_-_Data_Management_Handbook.pdf</w:t>
        </w:r>
      </w:hyperlink>
      <w:r>
        <w:t xml:space="preserve">.</w:t>
      </w:r>
    </w:p>
    <w:bookmarkEnd w:id="71"/>
    <w:bookmarkStart w:id="73"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72">
        <w:r>
          <w:rPr>
            <w:rStyle w:val="Hyperlink"/>
          </w:rPr>
          <w:t xml:space="preserve">https://doi.org/10.5334/dsj-2018-015</w:t>
        </w:r>
      </w:hyperlink>
      <w:r>
        <w:t xml:space="preserve">.</w:t>
      </w:r>
    </w:p>
    <w:bookmarkEnd w:id="73"/>
    <w:bookmarkStart w:id="75"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74">
        <w:r>
          <w:rPr>
            <w:rStyle w:val="Hyperlink"/>
          </w:rPr>
          <w:t xml:space="preserve">https://doi.org/10.1139/f2012-063</w:t>
        </w:r>
      </w:hyperlink>
      <w:r>
        <w:t xml:space="preserve">.</w:t>
      </w:r>
    </w:p>
    <w:bookmarkEnd w:id="75"/>
    <w:bookmarkStart w:id="77" w:name="ref-plotkin2014"/>
    <w:p>
      <w:pPr>
        <w:pStyle w:val="Bibliography"/>
      </w:pPr>
      <w:r>
        <w:t xml:space="preserve">Plotkin, David. 2014.</w:t>
      </w:r>
      <w:r>
        <w:t xml:space="preserve"> </w:t>
      </w:r>
      <w:r>
        <w:rPr>
          <w:i/>
          <w:iCs/>
        </w:rPr>
        <w:t xml:space="preserve">Data Stewardship</w:t>
      </w:r>
      <w:r>
        <w:t xml:space="preserve">. Elsevier.</w:t>
      </w:r>
      <w:r>
        <w:t xml:space="preserve"> </w:t>
      </w:r>
      <w:hyperlink r:id="rId76">
        <w:r>
          <w:rPr>
            <w:rStyle w:val="Hyperlink"/>
          </w:rPr>
          <w:t xml:space="preserve">https://doi.org/10.1016/c2012-0-07057-3</w:t>
        </w:r>
      </w:hyperlink>
      <w:r>
        <w:t xml:space="preserve">.</w:t>
      </w:r>
    </w:p>
    <w:bookmarkEnd w:id="77"/>
    <w:bookmarkStart w:id="79"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78">
        <w:r>
          <w:rPr>
            <w:rStyle w:val="Hyperlink"/>
          </w:rPr>
          <w:t xml:space="preserve">https://doi.org/10.1139/facets-2020-0008</w:t>
        </w:r>
      </w:hyperlink>
      <w:r>
        <w:t xml:space="preserve">.</w:t>
      </w:r>
    </w:p>
    <w:bookmarkEnd w:id="79"/>
    <w:bookmarkStart w:id="81"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80">
        <w:r>
          <w:rPr>
            <w:rStyle w:val="Hyperlink"/>
          </w:rPr>
          <w:t xml:space="preserve">https://doi.org/10.1007/s00267-014-0258-2</w:t>
        </w:r>
      </w:hyperlink>
      <w:r>
        <w:t xml:space="preserve">.</w:t>
      </w:r>
    </w:p>
    <w:bookmarkEnd w:id="81"/>
    <w:bookmarkStart w:id="83"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82">
        <w:r>
          <w:rPr>
            <w:rStyle w:val="Hyperlink"/>
          </w:rPr>
          <w:t xml:space="preserve">https://doi.org/10.1101/2025.03.14.643022</w:t>
        </w:r>
      </w:hyperlink>
      <w:r>
        <w:t xml:space="preserve">.</w:t>
      </w:r>
    </w:p>
    <w:bookmarkEnd w:id="83"/>
    <w:bookmarkStart w:id="85"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84">
        <w:r>
          <w:rPr>
            <w:rStyle w:val="Hyperlink"/>
          </w:rPr>
          <w:t xml:space="preserve">https://doi.org/10.3390/su5020478</w:t>
        </w:r>
      </w:hyperlink>
      <w:r>
        <w:t xml:space="preserve">.</w:t>
      </w:r>
    </w:p>
    <w:bookmarkEnd w:id="85"/>
    <w:bookmarkStart w:id="87"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86">
        <w:r>
          <w:rPr>
            <w:rStyle w:val="Hyperlink"/>
          </w:rPr>
          <w:t xml:space="preserve">https://doi.org/10.1038/sdata.2016.18</w:t>
        </w:r>
      </w:hyperlink>
      <w:r>
        <w:t xml:space="preserve">.</w:t>
      </w:r>
    </w:p>
    <w:bookmarkEnd w:id="87"/>
    <w:bookmarkEnd w:id="88"/>
    <w:bookmarkEnd w:id="89"/>
    <w:bookmarkEnd w:id="90"/>
    <w:bookmarkStart w:id="91" w:name="appendices"/>
    <w:p>
      <w:pPr>
        <w:pStyle w:val="Heading1"/>
      </w:pPr>
      <w:r>
        <w:t xml:space="preserve">Appendices</w:t>
      </w:r>
    </w:p>
    <w:bookmarkEnd w:id="91"/>
    <w:bookmarkStart w:id="131" w:name="section"/>
    <w:p>
      <w:pPr>
        <w:pStyle w:val="Heading1"/>
      </w:pPr>
    </w:p>
    <w:bookmarkStart w:id="130"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w:t>
      </w:r>
      <w:r>
        <w:t xml:space="preserve"> </w:t>
      </w:r>
      <w:r>
        <w:t xml:space="preserve">salmon data stewardship, along with practical applications and</w:t>
      </w:r>
      <w:r>
        <w:t xml:space="preserve"> </w:t>
      </w:r>
      <w:r>
        <w:t xml:space="preserve">real-world examples. This is not an exhaustive list, but rather a</w:t>
      </w:r>
      <w:r>
        <w:t xml:space="preserve"> </w:t>
      </w:r>
      <w:r>
        <w:t xml:space="preserve">starting point for salmon biologists and data stewards to implement</w:t>
      </w:r>
      <w:r>
        <w:t xml:space="preserve"> </w:t>
      </w:r>
      <w:r>
        <w:t xml:space="preserve">effective data stewardship practices in their work based on examples</w:t>
      </w:r>
      <w:r>
        <w:t xml:space="preserve"> </w:t>
      </w:r>
      <w:r>
        <w:t xml:space="preserve">from the salmon research and management community.</w:t>
      </w:r>
    </w:p>
    <w:bookmarkStart w:id="97"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w:t>
      </w:r>
      <w:r>
        <w:t xml:space="preserve"> </w:t>
      </w:r>
      <w:r>
        <w:t xml:space="preserve">ensuring data quality, long-term maintenance, accountability, and</w:t>
      </w:r>
      <w:r>
        <w:t xml:space="preserve"> </w:t>
      </w:r>
      <w:r>
        <w:t xml:space="preserve">compliance with community principles such as FAIR and CARE. Effective</w:t>
      </w:r>
      <w:r>
        <w:t xml:space="preserve"> </w:t>
      </w:r>
      <w:r>
        <w:t xml:space="preserve">governance fosters trust, facilitates data sharing, reduces ambiguity</w:t>
      </w:r>
      <w:r>
        <w:t xml:space="preserve"> </w:t>
      </w:r>
      <w:r>
        <w:t xml:space="preserve">regarding decision making, and is critical for coordinating both</w:t>
      </w:r>
      <w:r>
        <w:t xml:space="preserve"> </w:t>
      </w:r>
      <w:r>
        <w:t xml:space="preserve">technical and sociocultural aspects of data stewardship.</w:t>
      </w:r>
    </w:p>
    <w:p>
      <w:pPr>
        <w:pStyle w:val="BodyText"/>
      </w:pPr>
      <w:r>
        <w:t xml:space="preserve">In collaborative international or multi-organizational settings,</w:t>
      </w:r>
      <w:r>
        <w:t xml:space="preserve"> </w:t>
      </w:r>
      <w:r>
        <w:t xml:space="preserve">establishing governance at the outset of a project is crucial for</w:t>
      </w:r>
      <w:r>
        <w:t xml:space="preserve"> </w:t>
      </w:r>
      <w:r>
        <w:t xml:space="preserve">aligning diverse groups, including biologists, data managers, Indigenous</w:t>
      </w:r>
      <w:r>
        <w:t xml:space="preserve"> </w:t>
      </w:r>
      <w:r>
        <w:t xml:space="preserve">communities, policymakers, and other participants. Early governance</w:t>
      </w:r>
      <w:r>
        <w:t xml:space="preserve"> </w:t>
      </w:r>
      <w:r>
        <w:t xml:space="preserve">planning should establish clear, collaborative frameworks that respect</w:t>
      </w:r>
      <w:r>
        <w:t xml:space="preserve"> </w:t>
      </w:r>
      <w:r>
        <w:t xml:space="preserve">each group’s expertise and needs from the beginning. </w:t>
      </w:r>
    </w:p>
    <w:bookmarkStart w:id="96" w:name="practical-applications"/>
    <w:p>
      <w:pPr>
        <w:pStyle w:val="Heading5"/>
      </w:pPr>
      <w:r>
        <w:t xml:space="preserve">Practical Applications:</w:t>
      </w:r>
    </w:p>
    <w:p>
      <w:pPr>
        <w:pStyle w:val="FirstParagraph"/>
      </w:pPr>
      <w:r>
        <w:t xml:space="preserve">1.1 Document roles and responsibilities clearly at project start using a</w:t>
      </w:r>
      <w:r>
        <w:t xml:space="preserve"> </w:t>
      </w:r>
      <w:r>
        <w:t xml:space="preserve">Project or Data Product Governance Charter and structured frameworks</w:t>
      </w:r>
      <w:r>
        <w:t xml:space="preserve"> </w:t>
      </w:r>
      <w:r>
        <w:t xml:space="preserve">(e.g., DACI or RACI charts) that relate to organizational data policies.</w:t>
      </w:r>
    </w:p>
    <w:p>
      <w:pPr>
        <w:numPr>
          <w:ilvl w:val="0"/>
          <w:numId w:val="1006"/>
        </w:numPr>
      </w:pPr>
      <w:hyperlink r:id="rId92">
        <w:r>
          <w:rPr>
            <w:rStyle w:val="Hyperlink"/>
          </w:rPr>
          <w:t xml:space="preserve">Example of a Data Management Plan from the California Department of</w:t>
        </w:r>
        <w:r>
          <w:rPr>
            <w:rStyle w:val="Hyperlink"/>
          </w:rPr>
          <w:t xml:space="preserve"> </w:t>
        </w:r>
        <w:r>
          <w:rPr>
            <w:rStyle w:val="Hyperlink"/>
          </w:rPr>
          <w:t xml:space="preserve">Water</w:t>
        </w:r>
        <w:r>
          <w:rPr>
            <w:rStyle w:val="Hyperlink"/>
          </w:rPr>
          <w:t xml:space="preserve"> </w:t>
        </w:r>
        <w:r>
          <w:rPr>
            <w:rStyle w:val="Hyperlink"/>
          </w:rPr>
          <w:t xml:space="preserve">Resources</w:t>
        </w:r>
      </w:hyperlink>
    </w:p>
    <w:p>
      <w:pPr>
        <w:numPr>
          <w:ilvl w:val="0"/>
          <w:numId w:val="1006"/>
        </w:numPr>
      </w:pPr>
      <w:r>
        <w:t xml:space="preserve">Data Management Plan Templates from</w:t>
      </w:r>
      <w:r>
        <w:t xml:space="preserve"> </w:t>
      </w:r>
      <w:hyperlink r:id="rId93">
        <w:r>
          <w:rPr>
            <w:rStyle w:val="Hyperlink"/>
          </w:rPr>
          <w:t xml:space="preserve">DMPTool</w:t>
        </w:r>
      </w:hyperlink>
      <w:r>
        <w:t xml:space="preserve">, and</w:t>
      </w:r>
      <w:r>
        <w:t xml:space="preserve"> </w:t>
      </w:r>
      <w:hyperlink r:id="rId70">
        <w:r>
          <w:rPr>
            <w:rStyle w:val="Hyperlink"/>
          </w:rPr>
          <w:t xml:space="preserve">NOAA</w:t>
        </w:r>
        <w:r>
          <w:rPr>
            <w:rStyle w:val="Hyperlink"/>
          </w:rPr>
          <w:t xml:space="preserve"> </w:t>
        </w:r>
        <w:r>
          <w:rPr>
            <w:rStyle w:val="Hyperlink"/>
          </w:rPr>
          <w:t xml:space="preserve">Data Management</w:t>
        </w:r>
        <w:r>
          <w:rPr>
            <w:rStyle w:val="Hyperlink"/>
          </w:rPr>
          <w:t xml:space="preserve"> </w:t>
        </w:r>
        <w:r>
          <w:rPr>
            <w:rStyle w:val="Hyperlink"/>
          </w:rPr>
          <w:t xml:space="preserve">Handbook</w:t>
        </w:r>
      </w:hyperlink>
    </w:p>
    <w:p>
      <w:pPr>
        <w:pStyle w:val="FirstParagraph"/>
      </w:pPr>
      <w:r>
        <w:t xml:space="preserve">1.2 Integrate CARE principles to ensure ethical governance and respect</w:t>
      </w:r>
      <w:r>
        <w:t xml:space="preserve"> </w:t>
      </w:r>
      <w:r>
        <w:t xml:space="preserve">Indigenous data rights.</w:t>
      </w:r>
    </w:p>
    <w:p>
      <w:pPr>
        <w:pStyle w:val="Compact"/>
        <w:numPr>
          <w:ilvl w:val="0"/>
          <w:numId w:val="1007"/>
        </w:numPr>
      </w:pPr>
      <w:r>
        <w:t xml:space="preserve">Northwest Indian Fisheries Commission use password protected website</w:t>
      </w:r>
      <w:r>
        <w:t xml:space="preserve"> </w:t>
      </w:r>
      <w:r>
        <w:t xml:space="preserve">to host all the WDFW and tribal data in a one-stop shopping website</w:t>
      </w:r>
      <w:r>
        <w:t xml:space="preserve"> </w:t>
      </w:r>
      <w:r>
        <w:t xml:space="preserve">for co-managers to pull data they need for decision-making process.</w:t>
      </w:r>
      <w:r>
        <w:t xml:space="preserve"> </w:t>
      </w:r>
      <w:hyperlink r:id="rId94">
        <w:r>
          <w:rPr>
            <w:rStyle w:val="Hyperlink"/>
          </w:rPr>
          <w:t xml:space="preserve">https://fisheriesservices.nwifc.org/</w:t>
        </w:r>
      </w:hyperlink>
    </w:p>
    <w:p>
      <w:pPr>
        <w:pStyle w:val="FirstParagraph"/>
      </w:pPr>
      <w:r>
        <w:t xml:space="preserve">1.3 Create a governance or oversight committee for regular data practice</w:t>
      </w:r>
      <w:r>
        <w:t xml:space="preserve"> </w:t>
      </w:r>
      <w:r>
        <w:t xml:space="preserve">reviews and decision making regarding data structures, timelines, data</w:t>
      </w:r>
      <w:r>
        <w:t xml:space="preserve"> </w:t>
      </w:r>
      <w:r>
        <w:t xml:space="preserve">sharing agreements and interoperability protocols</w:t>
      </w:r>
    </w:p>
    <w:p>
      <w:pPr>
        <w:pStyle w:val="Compact"/>
        <w:numPr>
          <w:ilvl w:val="0"/>
          <w:numId w:val="1008"/>
        </w:numPr>
      </w:pPr>
      <w:r>
        <w:t xml:space="preserve">Pacific Salmon Commission has formed a Technical Committee on Data</w:t>
      </w:r>
      <w:r>
        <w:t xml:space="preserve"> </w:t>
      </w:r>
      <w:r>
        <w:t xml:space="preserve">Sharing including both US and Canadian data contributors.</w:t>
      </w:r>
      <w:r>
        <w:t xml:space="preserve"> </w:t>
      </w:r>
      <w:hyperlink r:id="rId95">
        <w:r>
          <w:rPr>
            <w:rStyle w:val="Hyperlink"/>
          </w:rPr>
          <w:t xml:space="preserve">https://www.psc.org/membership-lists/</w:t>
        </w:r>
      </w:hyperlink>
    </w:p>
    <w:bookmarkEnd w:id="96"/>
    <w:bookmarkEnd w:id="97"/>
    <w:bookmarkStart w:id="102"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w:t>
      </w:r>
      <w:r>
        <w:t xml:space="preserve"> </w:t>
      </w:r>
      <w:r>
        <w:t xml:space="preserve">existing platforms and technologies reduces costs, accelerates</w:t>
      </w:r>
      <w:r>
        <w:t xml:space="preserve"> </w:t>
      </w:r>
      <w:r>
        <w:t xml:space="preserve">implementation, and increases data interoperability. Building modular,</w:t>
      </w:r>
      <w:r>
        <w:t xml:space="preserve"> </w:t>
      </w:r>
      <w:r>
        <w:t xml:space="preserve">interoperable systems grounded in proven technologies ensures</w:t>
      </w:r>
      <w:r>
        <w:t xml:space="preserve"> </w:t>
      </w:r>
      <w:r>
        <w:t xml:space="preserve">sustainable long-term stewardship.</w:t>
      </w:r>
    </w:p>
    <w:bookmarkStart w:id="101" w:name="practical-applications-1"/>
    <w:p>
      <w:pPr>
        <w:pStyle w:val="Heading5"/>
      </w:pPr>
      <w:r>
        <w:t xml:space="preserve">Practical Applications:</w:t>
      </w:r>
    </w:p>
    <w:p>
      <w:pPr>
        <w:pStyle w:val="FirstParagraph"/>
      </w:pPr>
      <w:r>
        <w:t xml:space="preserve">2.1</w:t>
      </w:r>
      <w:r>
        <w:t xml:space="preserve"> </w:t>
      </w:r>
      <w:hyperlink r:id="rId98">
        <w:r>
          <w:rPr>
            <w:rStyle w:val="Hyperlink"/>
          </w:rPr>
          <w:t xml:space="preserve">Use the Ocean Biodiversity Information System or the Global</w:t>
        </w:r>
        <w:r>
          <w:rPr>
            <w:rStyle w:val="Hyperlink"/>
          </w:rPr>
          <w:t xml:space="preserve"> </w:t>
        </w:r>
        <w:r>
          <w:rPr>
            <w:rStyle w:val="Hyperlink"/>
          </w:rPr>
          <w:t xml:space="preserve">Biodiversity Information Facility to standardize and host your</w:t>
        </w:r>
        <w:r>
          <w:rPr>
            <w:rStyle w:val="Hyperlink"/>
          </w:rPr>
          <w:t xml:space="preserve"> </w:t>
        </w:r>
        <w:r>
          <w:rPr>
            <w:rStyle w:val="Hyperlink"/>
          </w:rPr>
          <w:t xml:space="preserve">data</w:t>
        </w:r>
      </w:hyperlink>
    </w:p>
    <w:p>
      <w:pPr>
        <w:pStyle w:val="BodyText"/>
      </w:pPr>
      <w:r>
        <w:t xml:space="preserve">2.2 Use free data catalogue services such as the Knowledge Network for</w:t>
      </w:r>
      <w:r>
        <w:t xml:space="preserve"> </w:t>
      </w:r>
      <w:r>
        <w:t xml:space="preserve">Biocomplexity (KNB) or Zenodo</w:t>
      </w:r>
    </w:p>
    <w:p>
      <w:pPr>
        <w:pStyle w:val="Compact"/>
        <w:numPr>
          <w:ilvl w:val="0"/>
          <w:numId w:val="1009"/>
        </w:numPr>
      </w:pPr>
      <w:r>
        <w:t xml:space="preserve">The Pacific Salmon Foundation’s</w:t>
      </w:r>
      <w:r>
        <w:t xml:space="preserve"> </w:t>
      </w:r>
      <w:hyperlink r:id="rId99">
        <w:r>
          <w:rPr>
            <w:rStyle w:val="Hyperlink"/>
          </w:rPr>
          <w:t xml:space="preserve">spawner surveys dataset on</w:t>
        </w:r>
        <w:r>
          <w:rPr>
            <w:rStyle w:val="Hyperlink"/>
          </w:rPr>
          <w:t xml:space="preserve"> </w:t>
        </w:r>
        <w:r>
          <w:rPr>
            <w:rStyle w:val="Hyperlink"/>
          </w:rPr>
          <w:t xml:space="preserve">Zenodo</w:t>
        </w:r>
      </w:hyperlink>
      <w:r>
        <w:t xml:space="preserve"> </w:t>
      </w:r>
      <w:r>
        <w:t xml:space="preserve">(Carturan and</w:t>
      </w:r>
      <w:r>
        <w:t xml:space="preserve"> </w:t>
      </w:r>
      <w:r>
        <w:t xml:space="preserve">Peacock 2025) received more views within weeks than a</w:t>
      </w:r>
      <w:r>
        <w:t xml:space="preserve"> </w:t>
      </w:r>
      <w:hyperlink r:id="rId100">
        <w:r>
          <w:rPr>
            <w:rStyle w:val="Hyperlink"/>
          </w:rPr>
          <w:t xml:space="preserve">analogous</w:t>
        </w:r>
        <w:r>
          <w:rPr>
            <w:rStyle w:val="Hyperlink"/>
          </w:rPr>
          <w:t xml:space="preserve"> </w:t>
        </w:r>
        <w:r>
          <w:rPr>
            <w:rStyle w:val="Hyperlink"/>
          </w:rPr>
          <w:t xml:space="preserve">dataset in the Salmon Data</w:t>
        </w:r>
        <w:r>
          <w:rPr>
            <w:rStyle w:val="Hyperlink"/>
          </w:rPr>
          <w:t xml:space="preserve"> </w:t>
        </w:r>
        <w:r>
          <w:rPr>
            <w:rStyle w:val="Hyperlink"/>
          </w:rPr>
          <w:t xml:space="preserve">Library</w:t>
        </w:r>
      </w:hyperlink>
      <w:r>
        <w:t xml:space="preserve"> </w:t>
      </w:r>
      <w:r>
        <w:t xml:space="preserve">(Pacific</w:t>
      </w:r>
      <w:r>
        <w:t xml:space="preserve"> </w:t>
      </w:r>
      <w:r>
        <w:t xml:space="preserve">Salmon Foundation 2025) did over several years, illustrating that</w:t>
      </w:r>
      <w:r>
        <w:t xml:space="preserve"> </w:t>
      </w:r>
      <w:r>
        <w:t xml:space="preserve">leveraging established public data infrastructures, rather than</w:t>
      </w:r>
      <w:r>
        <w:t xml:space="preserve"> </w:t>
      </w:r>
      <w:r>
        <w:t xml:space="preserve">developing institution-specific ones, can substantially increase</w:t>
      </w:r>
      <w:r>
        <w:t xml:space="preserve"> </w:t>
      </w:r>
      <w:r>
        <w:t xml:space="preserve">discoverability.</w:t>
      </w:r>
    </w:p>
    <w:bookmarkEnd w:id="101"/>
    <w:bookmarkEnd w:id="102"/>
    <w:bookmarkStart w:id="108"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w:t>
      </w:r>
      <w:r>
        <w:t xml:space="preserve"> </w:t>
      </w:r>
      <w:r>
        <w:t xml:space="preserve">(DOI) are essential for tracking the provenance and reuse of data, and</w:t>
      </w:r>
      <w:r>
        <w:t xml:space="preserve"> </w:t>
      </w:r>
      <w:r>
        <w:t xml:space="preserve">linking data, protocols, organizations and people. They allow for</w:t>
      </w:r>
      <w:r>
        <w:t xml:space="preserve"> </w:t>
      </w:r>
      <w:r>
        <w:t xml:space="preserve">consistent referencing, integration across systems, and automated credit</w:t>
      </w:r>
      <w:r>
        <w:t xml:space="preserve"> </w:t>
      </w:r>
      <w:r>
        <w:t xml:space="preserve">via data citation.</w:t>
      </w:r>
    </w:p>
    <w:bookmarkStart w:id="107" w:name="practical-applications-2"/>
    <w:p>
      <w:pPr>
        <w:pStyle w:val="Heading5"/>
      </w:pPr>
      <w:r>
        <w:t xml:space="preserve">Practical Applications:</w:t>
      </w:r>
    </w:p>
    <w:p>
      <w:pPr>
        <w:pStyle w:val="FirstParagraph"/>
      </w:pPr>
      <w:r>
        <w:t xml:space="preserve">3.1 Encourage researchers to register for an</w:t>
      </w:r>
      <w:r>
        <w:t xml:space="preserve"> </w:t>
      </w:r>
      <w:hyperlink r:id="rId103">
        <w:r>
          <w:rPr>
            <w:rStyle w:val="Hyperlink"/>
          </w:rPr>
          <w:t xml:space="preserve">Open Researcher and</w:t>
        </w:r>
        <w:r>
          <w:rPr>
            <w:rStyle w:val="Hyperlink"/>
          </w:rPr>
          <w:t xml:space="preserve"> </w:t>
        </w:r>
        <w:r>
          <w:rPr>
            <w:rStyle w:val="Hyperlink"/>
          </w:rPr>
          <w:t xml:space="preserve">Contributor ID (ORCID)</w:t>
        </w:r>
      </w:hyperlink>
      <w:r>
        <w:t xml:space="preserve"> </w:t>
      </w:r>
      <w:r>
        <w:t xml:space="preserve">and include ORCIDs in</w:t>
      </w:r>
      <w:r>
        <w:t xml:space="preserve"> </w:t>
      </w:r>
      <w:r>
        <w:t xml:space="preserve">metadata records and submission forms</w:t>
      </w:r>
    </w:p>
    <w:p>
      <w:pPr>
        <w:pStyle w:val="BodyText"/>
      </w:pPr>
      <w:r>
        <w:t xml:space="preserve">3.2 Register your organization with the Research Organization Registry</w:t>
      </w:r>
      <w:r>
        <w:t xml:space="preserve"> </w:t>
      </w:r>
      <w:r>
        <w:t xml:space="preserve">(ROR) and use ROR IDs to identify institutions involved in salmon</w:t>
      </w:r>
      <w:r>
        <w:t xml:space="preserve"> </w:t>
      </w:r>
      <w:r>
        <w:t xml:space="preserve">science.</w:t>
      </w:r>
    </w:p>
    <w:p>
      <w:pPr>
        <w:pStyle w:val="Compact"/>
        <w:numPr>
          <w:ilvl w:val="0"/>
          <w:numId w:val="1010"/>
        </w:numPr>
      </w:pPr>
      <w:r>
        <w:t xml:space="preserve">Several salmon data holding institutions are already</w:t>
      </w:r>
      <w:r>
        <w:t xml:space="preserve"> </w:t>
      </w:r>
      <w:hyperlink r:id="rId104">
        <w:r>
          <w:rPr>
            <w:rStyle w:val="Hyperlink"/>
          </w:rPr>
          <w:t xml:space="preserve">registered with</w:t>
        </w:r>
        <w:r>
          <w:rPr>
            <w:rStyle w:val="Hyperlink"/>
          </w:rPr>
          <w:t xml:space="preserve"> </w:t>
        </w:r>
        <w:r>
          <w:rPr>
            <w:rStyle w:val="Hyperlink"/>
          </w:rPr>
          <w:t xml:space="preserve">ROR</w:t>
        </w:r>
      </w:hyperlink>
      <w:r>
        <w:t xml:space="preserve">. As a result, those</w:t>
      </w:r>
      <w:r>
        <w:t xml:space="preserve"> </w:t>
      </w:r>
      <w:r>
        <w:t xml:space="preserve">organizations can track and demonstrate their scholarly impact from</w:t>
      </w:r>
      <w:r>
        <w:t xml:space="preserve"> </w:t>
      </w:r>
      <w:r>
        <w:t xml:space="preserve">data publications:</w:t>
      </w:r>
      <w:r>
        <w:t xml:space="preserve"> </w:t>
      </w:r>
      <w:hyperlink r:id="rId105">
        <w:r>
          <w:rPr>
            <w:rStyle w:val="Hyperlink"/>
          </w:rPr>
          <w:t xml:space="preserve">DataCite Commons: Pacific Salmon</w:t>
        </w:r>
        <w:r>
          <w:rPr>
            <w:rStyle w:val="Hyperlink"/>
          </w:rPr>
          <w:t xml:space="preserve"> </w:t>
        </w:r>
        <w:r>
          <w:rPr>
            <w:rStyle w:val="Hyperlink"/>
          </w:rPr>
          <w:t xml:space="preserve">Foundation</w:t>
        </w:r>
      </w:hyperlink>
    </w:p>
    <w:p>
      <w:pPr>
        <w:pStyle w:val="FirstParagraph"/>
      </w:pPr>
      <w:r>
        <w:t xml:space="preserve">3.3 Assign DOIs to data packages, protocols, and reports using DataCite.</w:t>
      </w:r>
      <w:r>
        <w:t xml:space="preserve"> </w:t>
      </w:r>
      <w:r>
        <w:t xml:space="preserve">Maintain version history for all metadata records and document the</w:t>
      </w:r>
      <w:r>
        <w:t xml:space="preserve"> </w:t>
      </w:r>
      <w:r>
        <w:t xml:space="preserve">provenance of metadata creation, updates, and quality control processes</w:t>
      </w:r>
      <w:r>
        <w:t xml:space="preserve"> </w:t>
      </w:r>
      <w:r>
        <w:t xml:space="preserve">to ensure accountability and traceability.</w:t>
      </w:r>
    </w:p>
    <w:p>
      <w:pPr>
        <w:pStyle w:val="Compact"/>
        <w:numPr>
          <w:ilvl w:val="0"/>
          <w:numId w:val="1011"/>
        </w:numPr>
      </w:pPr>
      <w:r>
        <w:t xml:space="preserve">The North Pacific Anadromous FIsh Commission (NPAFC) assigns DOIs to</w:t>
      </w:r>
      <w:r>
        <w:t xml:space="preserve"> </w:t>
      </w:r>
      <w:r>
        <w:t xml:space="preserve">IYS-related data packages which are served by a CKAN catalogue at</w:t>
      </w:r>
      <w:r>
        <w:t xml:space="preserve"> </w:t>
      </w:r>
      <w:hyperlink r:id="rId106">
        <w:r>
          <w:rPr>
            <w:rStyle w:val="Hyperlink"/>
          </w:rPr>
          <w:t xml:space="preserve">https://data.npafc.org</w:t>
        </w:r>
      </w:hyperlink>
      <w:r>
        <w:t xml:space="preserve">. The Commission also assigns DOIs to NPAFC</w:t>
      </w:r>
      <w:r>
        <w:t xml:space="preserve"> </w:t>
      </w:r>
      <w:r>
        <w:t xml:space="preserve">Technical Reports and Bulletins.</w:t>
      </w:r>
    </w:p>
    <w:p>
      <w:pPr>
        <w:pStyle w:val="FirstParagraph"/>
      </w:pPr>
      <w:r>
        <w:t xml:space="preserve">3.4 Embed DOIs in dashboards, figures, and metadata so they persist in</w:t>
      </w:r>
      <w:r>
        <w:t xml:space="preserve"> </w:t>
      </w:r>
      <w:r>
        <w:t xml:space="preserve">derivative products.</w:t>
      </w:r>
    </w:p>
    <w:bookmarkEnd w:id="107"/>
    <w:bookmarkEnd w:id="108"/>
    <w:bookmarkStart w:id="115"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w:t>
      </w:r>
      <w:r>
        <w:t xml:space="preserve"> </w:t>
      </w:r>
      <w:r>
        <w:t xml:space="preserve">correctly and integrated across systems. Controlled vocabularies,</w:t>
      </w:r>
      <w:r>
        <w:t xml:space="preserve"> </w:t>
      </w:r>
      <w:r>
        <w:t xml:space="preserve">community ontologies, and structured metadata schemas allow data to</w:t>
      </w:r>
      <w:r>
        <w:t xml:space="preserve"> </w:t>
      </w:r>
      <w:r>
        <w:t xml:space="preserve">retain its full semantic meaning.</w:t>
      </w:r>
    </w:p>
    <w:bookmarkStart w:id="114" w:name="practical-applications-3"/>
    <w:p>
      <w:pPr>
        <w:pStyle w:val="Heading5"/>
      </w:pPr>
      <w:r>
        <w:t xml:space="preserve">Practical Applications:</w:t>
      </w:r>
    </w:p>
    <w:p>
      <w:pPr>
        <w:pStyle w:val="FirstParagraph"/>
      </w:pPr>
      <w:r>
        <w:t xml:space="preserve">4.1 Configure data catalogues and metadata intake tools to accept</w:t>
      </w:r>
      <w:r>
        <w:t xml:space="preserve"> </w:t>
      </w:r>
      <w:r>
        <w:t xml:space="preserve">internationally recognized metadata schemas such as ISO 19115,</w:t>
      </w:r>
      <w:r>
        <w:t xml:space="preserve"> </w:t>
      </w:r>
      <w:r>
        <w:t xml:space="preserve">Ecological Metadata Language (EML), or DataCite. Implement automated</w:t>
      </w:r>
      <w:r>
        <w:t xml:space="preserve"> </w:t>
      </w:r>
      <w:r>
        <w:t xml:space="preserve">validation against schema requirements and manual review processes to</w:t>
      </w:r>
      <w:r>
        <w:t xml:space="preserve"> </w:t>
      </w:r>
      <w:r>
        <w:t xml:space="preserve">ensure metadata completeness, accuracy, and consistency before</w:t>
      </w:r>
      <w:r>
        <w:t xml:space="preserve"> </w:t>
      </w:r>
      <w:r>
        <w:t xml:space="preserve">publication.</w:t>
      </w:r>
    </w:p>
    <w:p>
      <w:pPr>
        <w:pStyle w:val="Compact"/>
        <w:numPr>
          <w:ilvl w:val="0"/>
          <w:numId w:val="1012"/>
        </w:numPr>
      </w:pPr>
      <w:r>
        <w:t xml:space="preserve">The Pacific Salmon Foundation’s data portal asks contributors to</w:t>
      </w:r>
      <w:r>
        <w:t xml:space="preserve"> </w:t>
      </w:r>
      <w:r>
        <w:t xml:space="preserve">provide metadata in ISO 19115 or other standard formats.</w:t>
      </w:r>
      <w:r>
        <w:t xml:space="preserve"> </w:t>
      </w:r>
      <w:r>
        <w:t xml:space="preserve">marinedata.psf.ca</w:t>
      </w:r>
      <w:r>
        <w:t xml:space="preserve">,</w:t>
      </w:r>
      <w:r>
        <w:t xml:space="preserve"> </w:t>
      </w:r>
      <w:r>
        <w:t xml:space="preserve">ensuring consistent metadata structure</w:t>
      </w:r>
    </w:p>
    <w:p>
      <w:pPr>
        <w:pStyle w:val="Compact"/>
        <w:numPr>
          <w:ilvl w:val="0"/>
          <w:numId w:val="1012"/>
        </w:numPr>
      </w:pPr>
      <w:r>
        <w:t xml:space="preserve">The NPAFC uses ISO 19115 metadata standard in their data catalogue</w:t>
      </w:r>
      <w:r>
        <w:t xml:space="preserve"> </w:t>
      </w:r>
      <w:r>
        <w:t xml:space="preserve">https://data.npafc.org</w:t>
      </w:r>
    </w:p>
    <w:p>
      <w:pPr>
        <w:pStyle w:val="FirstParagraph"/>
      </w:pPr>
      <w:r>
        <w:t xml:space="preserve">4.2 Model datasets and databases using the</w:t>
      </w:r>
      <w:r>
        <w:t xml:space="preserve"> </w:t>
      </w:r>
      <w:hyperlink r:id="rId109">
        <w:r>
          <w:rPr>
            <w:rStyle w:val="Hyperlink"/>
          </w:rPr>
          <w:t xml:space="preserve">Darwin Core</w:t>
        </w:r>
        <w:r>
          <w:rPr>
            <w:rStyle w:val="Hyperlink"/>
          </w:rPr>
          <w:t xml:space="preserve"> </w:t>
        </w:r>
        <w:r>
          <w:rPr>
            <w:rStyle w:val="Hyperlink"/>
          </w:rPr>
          <w:t xml:space="preserve">Standard</w:t>
        </w:r>
      </w:hyperlink>
    </w:p>
    <w:p>
      <w:pPr>
        <w:numPr>
          <w:ilvl w:val="0"/>
          <w:numId w:val="1013"/>
        </w:numPr>
      </w:pPr>
      <w:r>
        <w:t xml:space="preserve">The Hakai Institute Juvenile Salmon Program publishes their data to</w:t>
      </w:r>
      <w:r>
        <w:t xml:space="preserve"> </w:t>
      </w:r>
      <w:r>
        <w:t xml:space="preserve">OBIS using Darwin Core:</w:t>
      </w:r>
      <w:r>
        <w:t xml:space="preserve"> </w:t>
      </w:r>
      <w:hyperlink r:id="rId110">
        <w:r>
          <w:rPr>
            <w:rStyle w:val="Hyperlink"/>
          </w:rPr>
          <w:t xml:space="preserve">Hakai Institute Juvenile Salmon</w:t>
        </w:r>
        <w:r>
          <w:rPr>
            <w:rStyle w:val="Hyperlink"/>
          </w:rPr>
          <w:t xml:space="preserve"> </w:t>
        </w:r>
        <w:r>
          <w:rPr>
            <w:rStyle w:val="Hyperlink"/>
          </w:rPr>
          <w:t xml:space="preserve">Program</w:t>
        </w:r>
      </w:hyperlink>
    </w:p>
    <w:p>
      <w:pPr>
        <w:numPr>
          <w:ilvl w:val="0"/>
          <w:numId w:val="1013"/>
        </w:numPr>
      </w:pPr>
      <w:r>
        <w:t xml:space="preserve">The International Year of the Salmon High Seas Expeditions data</w:t>
      </w:r>
      <w:r>
        <w:t xml:space="preserve"> </w:t>
      </w:r>
      <w:r>
        <w:t xml:space="preserve">mobilization efforts [</w:t>
      </w:r>
      <w:r>
        <w:t xml:space="preserve">Johnson and Stap (2024)</w:t>
      </w:r>
      <w:r>
        <w:t xml:space="preserve">] published their data to OBIS:</w:t>
      </w:r>
      <w:r>
        <w:t xml:space="preserve"> </w:t>
      </w:r>
      <w:hyperlink r:id="rId111">
        <w:r>
          <w:rPr>
            <w:rStyle w:val="Hyperlink"/>
          </w:rPr>
          <w:t xml:space="preserve">https://www.gbif.org/dataset/search?project_id=IYS</w:t>
        </w:r>
      </w:hyperlink>
    </w:p>
    <w:p>
      <w:pPr>
        <w:pStyle w:val="FirstParagraph"/>
      </w:pPr>
      <w:r>
        <w:t xml:space="preserve">4.3 Re-use or publish data terms that are shared online using a</w:t>
      </w:r>
      <w:r>
        <w:t xml:space="preserve"> </w:t>
      </w:r>
      <w:r>
        <w:t xml:space="preserve">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12">
        <w:r>
          <w:rPr>
            <w:rStyle w:val="Hyperlink"/>
          </w:rPr>
          <w:t xml:space="preserve">Hatchery</w:t>
        </w:r>
        <w:r>
          <w:rPr>
            <w:rStyle w:val="Hyperlink"/>
          </w:rPr>
          <w:t xml:space="preserve"> </w:t>
        </w:r>
        <w:r>
          <w:rPr>
            <w:rStyle w:val="Hyperlink"/>
          </w:rPr>
          <w:t xml:space="preserve">escapement reports | Washington Department of Fish &amp;</w:t>
        </w:r>
        <w:r>
          <w:rPr>
            <w:rStyle w:val="Hyperlink"/>
          </w:rPr>
          <w:t xml:space="preserve"> </w:t>
        </w:r>
        <w:r>
          <w:rPr>
            <w:rStyle w:val="Hyperlink"/>
          </w:rPr>
          <w:t xml:space="preserve">Wildlife</w:t>
        </w:r>
      </w:hyperlink>
    </w:p>
    <w:p>
      <w:pPr>
        <w:numPr>
          <w:ilvl w:val="0"/>
          <w:numId w:val="1014"/>
        </w:numPr>
      </w:pPr>
      <w:r>
        <w:t xml:space="preserve">Fish Passage Counts has defined metadata that can be used across OFDW</w:t>
      </w:r>
      <w:r>
        <w:t xml:space="preserve"> </w:t>
      </w:r>
      <w:r>
        <w:t xml:space="preserve">and WDFW.</w:t>
      </w:r>
      <w:r>
        <w:t xml:space="preserve"> </w:t>
      </w:r>
      <w:hyperlink r:id="rId113">
        <w:r>
          <w:rPr>
            <w:rStyle w:val="Hyperlink"/>
          </w:rPr>
          <w:t xml:space="preserve">https://www.fpc.org/111_sharedfiles/ColumbiaRiverBasinAdultFishPassageCountsMetadata.pdf</w:t>
        </w:r>
      </w:hyperlink>
    </w:p>
    <w:bookmarkEnd w:id="114"/>
    <w:bookmarkEnd w:id="115"/>
    <w:bookmarkStart w:id="119"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w:t>
      </w:r>
      <w:r>
        <w:t xml:space="preserve"> </w:t>
      </w:r>
      <w:r>
        <w:t xml:space="preserve">management, enabling seamless integration with tools and applications.</w:t>
      </w:r>
      <w:r>
        <w:t xml:space="preserve"> </w:t>
      </w:r>
      <w:r>
        <w:t xml:space="preserve">Ensuring accessible, persistent data storage requires more than just</w:t>
      </w:r>
      <w:r>
        <w:t xml:space="preserve"> </w:t>
      </w:r>
      <w:r>
        <w:t xml:space="preserve">file hosting. Data should be structured, accessible via API, and stored</w:t>
      </w:r>
      <w:r>
        <w:t xml:space="preserve"> </w:t>
      </w:r>
      <w:r>
        <w:t xml:space="preserve">in repositories that support long-term preservation.</w:t>
      </w:r>
    </w:p>
    <w:bookmarkStart w:id="118" w:name="practical-applications-4"/>
    <w:p>
      <w:pPr>
        <w:pStyle w:val="Heading5"/>
      </w:pPr>
      <w:r>
        <w:t xml:space="preserve">Practical Applications:</w:t>
      </w:r>
    </w:p>
    <w:p>
      <w:pPr>
        <w:pStyle w:val="FirstParagraph"/>
      </w:pPr>
      <w:r>
        <w:t xml:space="preserve">5.1 Provide Direct Data Access via Application Programming Interfaces</w:t>
      </w:r>
      <w:r>
        <w:t xml:space="preserve"> </w:t>
      </w:r>
      <w:r>
        <w:t xml:space="preserve">(APIs) using tools such as FastAPI, Flask, or Django REST Framework that</w:t>
      </w:r>
      <w:r>
        <w:t xml:space="preserve"> </w:t>
      </w:r>
      <w:r>
        <w:t xml:space="preserve">allows users to access, filter, and retrieve data programmatically,</w:t>
      </w:r>
      <w:r>
        <w:t xml:space="preserve"> </w:t>
      </w:r>
      <w:r>
        <w:t xml:space="preserve">facilitating automation and integration into analytical tools and</w:t>
      </w:r>
      <w:r>
        <w:t xml:space="preserve"> </w:t>
      </w:r>
      <w:r>
        <w:t xml:space="preserve">decision-support systems</w:t>
      </w:r>
    </w:p>
    <w:p>
      <w:pPr>
        <w:pStyle w:val="Compact"/>
        <w:numPr>
          <w:ilvl w:val="0"/>
          <w:numId w:val="1015"/>
        </w:numPr>
      </w:pPr>
      <w:r>
        <w:t xml:space="preserve">The Pacific States Marine Fisheries Commission make’s their</w:t>
      </w:r>
      <w:r>
        <w:t xml:space="preserve"> </w:t>
      </w:r>
      <w:hyperlink r:id="rId116">
        <w:r>
          <w:rPr>
            <w:rStyle w:val="Hyperlink"/>
          </w:rPr>
          <w:t xml:space="preserve">PIT Tag</w:t>
        </w:r>
        <w:r>
          <w:rPr>
            <w:rStyle w:val="Hyperlink"/>
          </w:rPr>
          <w:t xml:space="preserve"> </w:t>
        </w:r>
        <w:r>
          <w:rPr>
            <w:rStyle w:val="Hyperlink"/>
          </w:rPr>
          <w:t xml:space="preserve">Information</w:t>
        </w:r>
        <w:r>
          <w:rPr>
            <w:rStyle w:val="Hyperlink"/>
          </w:rPr>
          <w:t xml:space="preserve"> </w:t>
        </w:r>
        <w:r>
          <w:rPr>
            <w:rStyle w:val="Hyperlink"/>
          </w:rPr>
          <w:t xml:space="preserve">System</w:t>
        </w:r>
      </w:hyperlink>
      <w:r>
        <w:t xml:space="preserve"> </w:t>
      </w:r>
      <w:r>
        <w:t xml:space="preserve">data accessible via the</w:t>
      </w:r>
      <w:r>
        <w:t xml:space="preserve"> </w:t>
      </w:r>
      <w:hyperlink r:id="rId117">
        <w:r>
          <w:rPr>
            <w:rStyle w:val="Hyperlink"/>
          </w:rPr>
          <w:t xml:space="preserve">PTAGIS</w:t>
        </w:r>
        <w:r>
          <w:rPr>
            <w:rStyle w:val="Hyperlink"/>
          </w:rPr>
          <w:t xml:space="preserve"> </w:t>
        </w:r>
        <w:r>
          <w:rPr>
            <w:rStyle w:val="Hyperlink"/>
          </w:rPr>
          <w:t xml:space="preserve">API</w:t>
        </w:r>
      </w:hyperlink>
    </w:p>
    <w:p>
      <w:pPr>
        <w:pStyle w:val="FirstParagraph"/>
      </w:pPr>
      <w:r>
        <w:t xml:space="preserve">5.2 Archive data in certified long-term, domain-specific repositories</w:t>
      </w:r>
      <w:r>
        <w:t xml:space="preserve"> </w:t>
      </w:r>
      <w:r>
        <w:t xml:space="preserve">such as the Global Biodiversity Information Facility, the Federated</w:t>
      </w:r>
      <w:r>
        <w:t xml:space="preserve"> </w:t>
      </w:r>
      <w:r>
        <w:t xml:space="preserve">Research Data Repository (FRDR), or NOAA’s NCEI, USGS ScienceBase, or</w:t>
      </w:r>
      <w:r>
        <w:t xml:space="preserve"> </w:t>
      </w:r>
      <w:r>
        <w:t xml:space="preserve">EMODnet</w:t>
      </w:r>
    </w:p>
    <w:p>
      <w:pPr>
        <w:pStyle w:val="Compact"/>
        <w:numPr>
          <w:ilvl w:val="0"/>
          <w:numId w:val="1016"/>
        </w:numPr>
      </w:pPr>
      <w:r>
        <w:t xml:space="preserve">TODO</w:t>
      </w:r>
    </w:p>
    <w:p>
      <w:pPr>
        <w:pStyle w:val="FirstParagraph"/>
      </w:pPr>
      <w:r>
        <w:t xml:space="preserve">5.3 Leverage the integration between GitHub and Zenodo to automate</w:t>
      </w:r>
      <w:r>
        <w:t xml:space="preserve"> </w:t>
      </w:r>
      <w:r>
        <w:t xml:space="preserve">archiving and DOI assignment, ensuring long-term data preservation.</w:t>
      </w:r>
    </w:p>
    <w:bookmarkEnd w:id="118"/>
    <w:bookmarkEnd w:id="119"/>
    <w:bookmarkStart w:id="123"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w:t>
      </w:r>
      <w:r>
        <w:t xml:space="preserve"> </w:t>
      </w:r>
      <w:r>
        <w:t xml:space="preserve">opportunities for collaboration or co-authorship. Promoting data sharing</w:t>
      </w:r>
      <w:r>
        <w:t xml:space="preserve"> </w:t>
      </w:r>
      <w:r>
        <w:t xml:space="preserve">requires both cultural and technical infrastructure. The cultural</w:t>
      </w:r>
      <w:r>
        <w:t xml:space="preserve"> </w:t>
      </w:r>
      <w:r>
        <w:t xml:space="preserve">infrastructure requires a shift towards viewing data publication as</w:t>
      </w:r>
      <w:r>
        <w:t xml:space="preserve"> </w:t>
      </w:r>
      <w:r>
        <w:t xml:space="preserve">equal in importance to article publication. The infrastructure put in</w:t>
      </w:r>
      <w:r>
        <w:t xml:space="preserve"> </w:t>
      </w:r>
      <w:r>
        <w:t xml:space="preserve">place needs to support the process of generating citation records that</w:t>
      </w:r>
      <w:r>
        <w:t xml:space="preserve"> </w:t>
      </w:r>
      <w:r>
        <w:t xml:space="preserve">give credit to all First Nations, Tribes, agencies, and organizations.</w:t>
      </w:r>
      <w:r>
        <w:t xml:space="preserve"> </w:t>
      </w:r>
      <w:r>
        <w:t xml:space="preserve">By recognizing contributions, tracking reuse, and supporting citation,</w:t>
      </w:r>
      <w:r>
        <w:t xml:space="preserve"> </w:t>
      </w:r>
      <w:r>
        <w:t xml:space="preserve">data stewards can create a system where sharing is rewarded.</w:t>
      </w:r>
    </w:p>
    <w:bookmarkStart w:id="122"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106">
        <w:r>
          <w:rPr>
            <w:rStyle w:val="Hyperlink"/>
          </w:rPr>
          <w:t xml:space="preserve">NPAFC data</w:t>
        </w:r>
        <w:r>
          <w:rPr>
            <w:rStyle w:val="Hyperlink"/>
          </w:rPr>
          <w:t xml:space="preserve"> </w:t>
        </w:r>
        <w:r>
          <w:rPr>
            <w:rStyle w:val="Hyperlink"/>
          </w:rPr>
          <w:t xml:space="preserve">catalogue</w:t>
        </w:r>
      </w:hyperlink>
      <w:r>
        <w:t xml:space="preserve"> </w:t>
      </w:r>
      <w:r>
        <w:t xml:space="preserve">is licenced as </w:t>
      </w:r>
      <w:r>
        <w:t xml:space="preserve"> </w:t>
      </w:r>
      <w:hyperlink r:id="rId120">
        <w:r>
          <w:rPr>
            <w:rStyle w:val="Hyperlink"/>
          </w:rPr>
          <w:t xml:space="preserve">Creative Commons</w:t>
        </w:r>
        <w:r>
          <w:rPr>
            <w:rStyle w:val="Hyperlink"/>
          </w:rPr>
          <w:t xml:space="preserve"> </w:t>
        </w:r>
        <w:r>
          <w:rPr>
            <w:rStyle w:val="Hyperlink"/>
          </w:rPr>
          <w:t xml:space="preserve">Attribution 4.0</w:t>
        </w:r>
        <w:r>
          <w:rPr>
            <w:rStyle w:val="Hyperlink"/>
          </w:rPr>
          <w:t xml:space="preserve"> </w:t>
        </w:r>
        <w:r>
          <w:rPr>
            <w:rStyle w:val="Hyperlink"/>
          </w:rPr>
          <w:t xml:space="preserve">International</w:t>
        </w:r>
      </w:hyperlink>
    </w:p>
    <w:p>
      <w:pPr>
        <w:pStyle w:val="FirstParagraph"/>
      </w:pPr>
      <w:r>
        <w:t xml:space="preserve">6.2 Provide recommended citation text and visible credit fields in</w:t>
      </w:r>
      <w:r>
        <w:t xml:space="preserve"> </w:t>
      </w:r>
      <w:r>
        <w:t xml:space="preserve">metadata</w:t>
      </w:r>
    </w:p>
    <w:p>
      <w:pPr>
        <w:pStyle w:val="BodyText"/>
      </w:pPr>
      <w:r>
        <w:t xml:space="preserve">6.3 Create summary dashboards that highlight reuse using</w:t>
      </w:r>
      <w:r>
        <w:t xml:space="preserve"> </w:t>
      </w:r>
      <w:hyperlink r:id="rId121">
        <w:r>
          <w:rPr>
            <w:rStyle w:val="Hyperlink"/>
          </w:rPr>
          <w:t xml:space="preserve">COUNTER Code</w:t>
        </w:r>
        <w:r>
          <w:rPr>
            <w:rStyle w:val="Hyperlink"/>
          </w:rPr>
          <w:t xml:space="preserve"> </w:t>
        </w:r>
        <w:r>
          <w:rPr>
            <w:rStyle w:val="Hyperlink"/>
          </w:rPr>
          <w:t xml:space="preserve">of Practice compliant metrics</w:t>
        </w:r>
      </w:hyperlink>
      <w:r>
        <w:t xml:space="preserve"> </w:t>
      </w:r>
      <w:r>
        <w:t xml:space="preserve">to track</w:t>
      </w:r>
      <w:r>
        <w:t xml:space="preserve"> </w:t>
      </w:r>
      <w:r>
        <w:t xml:space="preserve">dataset views/downloads and the DataCite APIs</w:t>
      </w:r>
    </w:p>
    <w:p>
      <w:pPr>
        <w:pStyle w:val="BodyText"/>
      </w:pPr>
      <w:r>
        <w:t xml:space="preserve">6.4 Ensure that datasets are properly cited in journal articles using in</w:t>
      </w:r>
      <w:r>
        <w:t xml:space="preserve"> </w:t>
      </w:r>
      <w:r>
        <w:t xml:space="preserve">text citations and the recommended citation in the articles list of</w:t>
      </w:r>
      <w:r>
        <w:t xml:space="preserve"> </w:t>
      </w:r>
      <w:r>
        <w:t xml:space="preserve">references, not just in a Data Availability statement</w:t>
      </w:r>
    </w:p>
    <w:p>
      <w:pPr>
        <w:pStyle w:val="Compact"/>
        <w:numPr>
          <w:ilvl w:val="0"/>
          <w:numId w:val="1018"/>
        </w:numPr>
      </w:pPr>
      <w:r>
        <w:t xml:space="preserve">In late 2024, the NPAFC began citing data sets using in-text citations</w:t>
      </w:r>
      <w:r>
        <w:t xml:space="preserve"> </w:t>
      </w:r>
      <w:r>
        <w:t xml:space="preserve">and the recommended citation in the list of references with the</w:t>
      </w:r>
      <w:r>
        <w:t xml:space="preserve"> </w:t>
      </w:r>
      <w:r>
        <w:t xml:space="preserve">publication of NPAFC Bulletin 7 titled,</w:t>
      </w:r>
      <w:r>
        <w:t xml:space="preserve"> </w:t>
      </w:r>
      <w:r>
        <w:rPr>
          <w:i/>
          <w:iCs/>
        </w:rPr>
        <w:t xml:space="preserve">Highlights of the 2022</w:t>
      </w:r>
      <w:r>
        <w:rPr>
          <w:i/>
          <w:iCs/>
        </w:rPr>
        <w:t xml:space="preserve"> </w:t>
      </w:r>
      <w:r>
        <w:rPr>
          <w:i/>
          <w:iCs/>
        </w:rPr>
        <w:t xml:space="preserve">International Year of the Salmon Pan–Pacific Winter Expedition</w:t>
      </w:r>
      <w:r>
        <w:t xml:space="preserve">.</w:t>
      </w:r>
    </w:p>
    <w:p>
      <w:pPr>
        <w:pStyle w:val="FirstParagraph"/>
      </w:pPr>
      <w:r>
        <w:t xml:space="preserve">6.5 Promote the view that well documented data publications are primary</w:t>
      </w:r>
      <w:r>
        <w:t xml:space="preserve"> </w:t>
      </w:r>
      <w:r>
        <w:t xml:space="preserve">research outputs and are significant contributions to the field</w:t>
      </w:r>
    </w:p>
    <w:bookmarkEnd w:id="122"/>
    <w:bookmarkEnd w:id="123"/>
    <w:bookmarkStart w:id="129"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w:t>
      </w:r>
      <w:r>
        <w:t xml:space="preserve"> </w:t>
      </w:r>
      <w:r>
        <w:t xml:space="preserve">and cross-ecosystem data integration is only effective if there’s</w:t>
      </w:r>
      <w:r>
        <w:t xml:space="preserve"> </w:t>
      </w:r>
      <w:r>
        <w:t xml:space="preserve">community engagement. Standards and tools must be co-developed with</w:t>
      </w:r>
      <w:r>
        <w:t xml:space="preserve"> </w:t>
      </w:r>
      <w:r>
        <w:t xml:space="preserve">their intended users using user-centred design principles (citation</w:t>
      </w:r>
      <w:r>
        <w:t xml:space="preserve"> </w:t>
      </w:r>
      <w:r>
        <w:t xml:space="preserve">required) to be effective. Engaging biologists, Indigenous stewards, and</w:t>
      </w:r>
      <w:r>
        <w:t xml:space="preserve"> </w:t>
      </w:r>
      <w:r>
        <w:t xml:space="preserve">data managers ensures relevance, usability, and long-term participation.</w:t>
      </w:r>
    </w:p>
    <w:bookmarkStart w:id="128"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24">
        <w:r>
          <w:rPr>
            <w:rStyle w:val="Hyperlink"/>
          </w:rPr>
          <w:t xml:space="preserve">Research</w:t>
        </w:r>
        <w:r>
          <w:rPr>
            <w:rStyle w:val="Hyperlink"/>
          </w:rPr>
          <w:t xml:space="preserve"> </w:t>
        </w:r>
        <w:r>
          <w:rPr>
            <w:rStyle w:val="Hyperlink"/>
          </w:rPr>
          <w:t xml:space="preserve">Data Alliance’s Salmon Research and Monitoring Interest</w:t>
        </w:r>
        <w:r>
          <w:rPr>
            <w:rStyle w:val="Hyperlink"/>
          </w:rPr>
          <w:t xml:space="preserve"> </w:t>
        </w:r>
        <w:r>
          <w:rPr>
            <w:rStyle w:val="Hyperlink"/>
          </w:rPr>
          <w:t xml:space="preserve">Group</w:t>
        </w:r>
      </w:hyperlink>
      <w:r>
        <w:t xml:space="preserve"> </w:t>
      </w:r>
    </w:p>
    <w:p>
      <w:pPr>
        <w:pStyle w:val="BodyText"/>
      </w:pPr>
      <w:r>
        <w:t xml:space="preserve">7.2 Run participatory workshops for metadata mapping and vocabulary</w:t>
      </w:r>
      <w:r>
        <w:t xml:space="preserve"> </w:t>
      </w:r>
      <w:r>
        <w:t xml:space="preserve">alignment</w:t>
      </w:r>
    </w:p>
    <w:p>
      <w:pPr>
        <w:pStyle w:val="Compact"/>
        <w:numPr>
          <w:ilvl w:val="0"/>
          <w:numId w:val="1019"/>
        </w:numPr>
      </w:pPr>
      <w:r>
        <w:t xml:space="preserve">American Fisheries Society 2025 WA-BC Chapter Annual Meeting workshop.</w:t>
      </w:r>
      <w:r>
        <w:t xml:space="preserve"> </w:t>
      </w:r>
      <w:hyperlink r:id="rId125">
        <w:r>
          <w:rPr>
            <w:rStyle w:val="Hyperlink"/>
          </w:rPr>
          <w:t xml:space="preserve">’Fishing for Clarity: Knowledge Modelling to Support</w:t>
        </w:r>
        <w:r>
          <w:rPr>
            <w:rStyle w:val="Hyperlink"/>
          </w:rPr>
          <w:t xml:space="preserve"> </w:t>
        </w:r>
        <w:r>
          <w:rPr>
            <w:rStyle w:val="Hyperlink"/>
          </w:rPr>
          <w:t xml:space="preserve">Cross-organizational Collaboration and Data Sharing about Salmon</w:t>
        </w:r>
        <w:r>
          <w:rPr>
            <w:rStyle w:val="Hyperlink"/>
          </w:rPr>
          <w:t xml:space="preserve"> </w:t>
        </w:r>
        <w:r>
          <w:rPr>
            <w:rStyle w:val="Hyperlink"/>
          </w:rPr>
          <w:t xml:space="preserve">Escapement</w:t>
        </w:r>
      </w:hyperlink>
    </w:p>
    <w:p>
      <w:pPr>
        <w:pStyle w:val="FirstParagraph"/>
      </w:pPr>
      <w:r>
        <w:t xml:space="preserve">7.3 Support and follow through on Community Engaged Research (e.g. </w:t>
      </w:r>
      <w:hyperlink r:id="rId126">
        <w:r>
          <w:rPr>
            <w:rStyle w:val="Hyperlink"/>
          </w:rPr>
          <w:t xml:space="preserve">The</w:t>
        </w:r>
        <w:r>
          <w:rPr>
            <w:rStyle w:val="Hyperlink"/>
          </w:rPr>
          <w:t xml:space="preserve"> </w:t>
        </w:r>
        <w:r>
          <w:rPr>
            <w:rStyle w:val="Hyperlink"/>
          </w:rPr>
          <w:t xml:space="preserve">Salmon Prize Project</w:t>
        </w:r>
      </w:hyperlink>
      <w:r>
        <w:t xml:space="preserve">) that provides tangible</w:t>
      </w:r>
      <w:r>
        <w:t xml:space="preserve"> </w:t>
      </w:r>
      <w:r>
        <w:t xml:space="preserve">value to the communities in which research or monitoring was conducted.</w:t>
      </w:r>
    </w:p>
    <w:p>
      <w:pPr>
        <w:pStyle w:val="BodyText"/>
      </w:pPr>
      <w:r>
        <w:rPr>
          <w:vertAlign w:val="subscript"/>
        </w:rPr>
        <w:t xml:space="preserve">Source:</w:t>
      </w:r>
      <w:r>
        <w:rPr>
          <w:vertAlign w:val="subscript"/>
        </w:rPr>
        <w:t xml:space="preserve"> </w:t>
      </w:r>
      <w:hyperlink r:id="rId127">
        <w:r>
          <w:rPr>
            <w:rStyle w:val="Hyperlink"/>
            <w:vertAlign w:val="subscript"/>
          </w:rPr>
          <w:t xml:space="preserve">Appendix 1. Real-world Example Applications of the Best Practices</w:t>
        </w:r>
      </w:hyperlink>
    </w:p>
    <w:bookmarkEnd w:id="128"/>
    <w:bookmarkEnd w:id="129"/>
    <w:bookmarkEnd w:id="130"/>
    <w:bookmarkEnd w:id="131"/>
    <w:bookmarkStart w:id="170" w:name="section-1"/>
    <w:p>
      <w:pPr>
        <w:pStyle w:val="Heading1"/>
      </w:pPr>
    </w:p>
    <w:bookmarkStart w:id="169"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w:t>
      </w:r>
      <w:r>
        <w:t xml:space="preserve"> </w:t>
      </w:r>
      <w:r>
        <w:t xml:space="preserve">materials salmon biologists should engage with to effectively transition</w:t>
      </w:r>
      <w:r>
        <w:t xml:space="preserve"> </w:t>
      </w:r>
      <w:r>
        <w:t xml:space="preserve">into data stewardship roles. The roadmap follows a structured</w:t>
      </w:r>
      <w:r>
        <w:t xml:space="preserve"> </w:t>
      </w:r>
      <w:r>
        <w:t xml:space="preserve">progression similar to</w:t>
      </w:r>
      <w:r>
        <w:t xml:space="preserve"> </w:t>
      </w:r>
      <w:hyperlink r:id="rId132">
        <w:r>
          <w:rPr>
            <w:rStyle w:val="Hyperlink"/>
          </w:rPr>
          <w:t xml:space="preserve">roadmap.sh</w:t>
        </w:r>
      </w:hyperlink>
      <w:r>
        <w:t xml:space="preserve">.</w:t>
      </w:r>
    </w:p>
    <w:bookmarkStart w:id="136"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33">
        <w:r>
          <w:rPr>
            <w:rStyle w:val="Hyperlink"/>
          </w:rPr>
          <w:t xml:space="preserve">FAIR Data Principles</w:t>
        </w:r>
      </w:hyperlink>
    </w:p>
    <w:p>
      <w:pPr>
        <w:pStyle w:val="Compact"/>
        <w:numPr>
          <w:ilvl w:val="1"/>
          <w:numId w:val="1021"/>
        </w:numPr>
      </w:pPr>
      <w:hyperlink r:id="rId134">
        <w:r>
          <w:rPr>
            <w:rStyle w:val="Hyperlink"/>
          </w:rPr>
          <w:t xml:space="preserve">CARE Principles for Indigenous Data</w:t>
        </w:r>
        <w:r>
          <w:rPr>
            <w:rStyle w:val="Hyperlink"/>
          </w:rPr>
          <w:t xml:space="preserve"> </w:t>
        </w:r>
        <w:r>
          <w:rPr>
            <w:rStyle w:val="Hyperlink"/>
          </w:rPr>
          <w:t xml:space="preserve">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86">
        <w:r>
          <w:rPr>
            <w:rStyle w:val="Hyperlink"/>
          </w:rPr>
          <w:t xml:space="preserve">FAIR Guiding</w:t>
        </w:r>
        <w:r>
          <w:rPr>
            <w:rStyle w:val="Hyperlink"/>
          </w:rPr>
          <w:t xml:space="preserve"> </w:t>
        </w:r>
        <w:r>
          <w:rPr>
            <w:rStyle w:val="Hyperlink"/>
          </w:rPr>
          <w:t xml:space="preserve">Principles</w:t>
        </w:r>
      </w:hyperlink>
    </w:p>
    <w:p>
      <w:pPr>
        <w:pStyle w:val="Compact"/>
        <w:numPr>
          <w:ilvl w:val="1"/>
          <w:numId w:val="1022"/>
        </w:numPr>
      </w:pPr>
      <w:r>
        <w:t xml:space="preserve">Carroll et al. 2019</w:t>
      </w:r>
      <w:r>
        <w:t xml:space="preserve"> </w:t>
      </w:r>
      <w:hyperlink r:id="rId44">
        <w:r>
          <w:rPr>
            <w:rStyle w:val="Hyperlink"/>
          </w:rPr>
          <w:t xml:space="preserve">Indigenous Data</w:t>
        </w:r>
        <w:r>
          <w:rPr>
            <w:rStyle w:val="Hyperlink"/>
          </w:rPr>
          <w:t xml:space="preserve"> </w:t>
        </w:r>
        <w:r>
          <w:rPr>
            <w:rStyle w:val="Hyperlink"/>
          </w:rPr>
          <w:t xml:space="preserve">Governance</w:t>
        </w:r>
      </w:hyperlink>
    </w:p>
    <w:p>
      <w:pPr>
        <w:pStyle w:val="Compact"/>
        <w:numPr>
          <w:ilvl w:val="0"/>
          <w:numId w:val="1020"/>
        </w:numPr>
      </w:pPr>
      <w:r>
        <w:rPr>
          <w:b/>
          <w:bCs/>
        </w:rPr>
        <w:t xml:space="preserve">Courses and Tutorials:</w:t>
      </w:r>
    </w:p>
    <w:p>
      <w:pPr>
        <w:pStyle w:val="Compact"/>
        <w:numPr>
          <w:ilvl w:val="1"/>
          <w:numId w:val="1023"/>
        </w:numPr>
      </w:pPr>
      <w:hyperlink r:id="rId135">
        <w:r>
          <w:rPr>
            <w:rStyle w:val="Hyperlink"/>
          </w:rPr>
          <w:t xml:space="preserve">FAIR Principles Explained</w:t>
        </w:r>
        <w:r>
          <w:rPr>
            <w:rStyle w:val="Hyperlink"/>
          </w:rPr>
          <w:t xml:space="preserve"> </w:t>
        </w:r>
        <w:r>
          <w:rPr>
            <w:rStyle w:val="Hyperlink"/>
          </w:rPr>
          <w:t xml:space="preserve">(GO-FAIR)</w:t>
        </w:r>
      </w:hyperlink>
    </w:p>
    <w:bookmarkEnd w:id="136"/>
    <w:bookmarkStart w:id="139"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76">
        <w:r>
          <w:rPr>
            <w:rStyle w:val="Hyperlink"/>
          </w:rPr>
          <w:t xml:space="preserve">Data</w:t>
        </w:r>
        <w:r>
          <w:rPr>
            <w:rStyle w:val="Hyperlink"/>
          </w:rPr>
          <w:t xml:space="preserve"> </w:t>
        </w:r>
        <w:r>
          <w:rPr>
            <w:rStyle w:val="Hyperlink"/>
          </w:rPr>
          <w:t xml:space="preserve">Stewardship</w:t>
        </w:r>
      </w:hyperlink>
    </w:p>
    <w:p>
      <w:pPr>
        <w:pStyle w:val="Compact"/>
        <w:numPr>
          <w:ilvl w:val="1"/>
          <w:numId w:val="1025"/>
        </w:numPr>
      </w:pPr>
      <w:r>
        <w:t xml:space="preserve">NOAA, 2007</w:t>
      </w:r>
      <w:r>
        <w:t xml:space="preserve"> </w:t>
      </w:r>
      <w:hyperlink r:id="rId68">
        <w:r>
          <w:rPr>
            <w:rStyle w:val="Hyperlink"/>
          </w:rPr>
          <w:t xml:space="preserve">Environmental Data</w:t>
        </w:r>
        <w:r>
          <w:rPr>
            <w:rStyle w:val="Hyperlink"/>
          </w:rPr>
          <w:t xml:space="preserve"> </w:t>
        </w:r>
        <w:r>
          <w:rPr>
            <w:rStyle w:val="Hyperlink"/>
          </w:rPr>
          <w:t xml:space="preserve">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37">
        <w:r>
          <w:rPr>
            <w:rStyle w:val="Hyperlink"/>
          </w:rPr>
          <w:t xml:space="preserve">DMPTool</w:t>
        </w:r>
      </w:hyperlink>
      <w:r>
        <w:t xml:space="preserve">)</w:t>
      </w:r>
    </w:p>
    <w:p>
      <w:pPr>
        <w:pStyle w:val="Compact"/>
        <w:numPr>
          <w:ilvl w:val="1"/>
          <w:numId w:val="1026"/>
        </w:numPr>
      </w:pPr>
      <w:r>
        <w:t xml:space="preserve">DACI and RACI Frameworks (</w:t>
      </w:r>
      <w:hyperlink r:id="rId138">
        <w:r>
          <w:rPr>
            <w:rStyle w:val="Hyperlink"/>
          </w:rPr>
          <w:t xml:space="preserve">Atlassian DACI</w:t>
        </w:r>
        <w:r>
          <w:rPr>
            <w:rStyle w:val="Hyperlink"/>
          </w:rPr>
          <w:t xml:space="preserve"> </w:t>
        </w:r>
        <w:r>
          <w:rPr>
            <w:rStyle w:val="Hyperlink"/>
          </w:rPr>
          <w:t xml:space="preserve">Guide</w:t>
        </w:r>
      </w:hyperlink>
      <w:r>
        <w:t xml:space="preserve">)</w:t>
      </w:r>
    </w:p>
    <w:bookmarkEnd w:id="139"/>
    <w:bookmarkStart w:id="144"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40">
        <w:r>
          <w:rPr>
            <w:rStyle w:val="Hyperlink"/>
          </w:rPr>
          <w:t xml:space="preserve">ISO 19115 Metadata</w:t>
        </w:r>
        <w:r>
          <w:rPr>
            <w:rStyle w:val="Hyperlink"/>
          </w:rPr>
          <w:t xml:space="preserve"> </w:t>
        </w:r>
        <w:r>
          <w:rPr>
            <w:rStyle w:val="Hyperlink"/>
          </w:rPr>
          <w:t xml:space="preserve">Standard</w:t>
        </w:r>
      </w:hyperlink>
    </w:p>
    <w:p>
      <w:pPr>
        <w:pStyle w:val="Compact"/>
        <w:numPr>
          <w:ilvl w:val="1"/>
          <w:numId w:val="1028"/>
        </w:numPr>
      </w:pPr>
      <w:hyperlink r:id="rId141">
        <w:r>
          <w:rPr>
            <w:rStyle w:val="Hyperlink"/>
          </w:rPr>
          <w:t xml:space="preserve">Ecological Metadata Language</w:t>
        </w:r>
        <w:r>
          <w:rPr>
            <w:rStyle w:val="Hyperlink"/>
          </w:rPr>
          <w:t xml:space="preserve"> </w:t>
        </w:r>
        <w:r>
          <w:rPr>
            <w:rStyle w:val="Hyperlink"/>
          </w:rPr>
          <w:t xml:space="preserve">(EML)</w:t>
        </w:r>
      </w:hyperlink>
    </w:p>
    <w:p>
      <w:pPr>
        <w:pStyle w:val="Compact"/>
        <w:numPr>
          <w:ilvl w:val="1"/>
          <w:numId w:val="1028"/>
        </w:numPr>
      </w:pPr>
      <w:hyperlink r:id="rId109">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42">
        <w:r>
          <w:rPr>
            <w:rStyle w:val="Hyperlink"/>
          </w:rPr>
          <w:t xml:space="preserve">Pacific Salmon Foundation Metadata</w:t>
        </w:r>
        <w:r>
          <w:rPr>
            <w:rStyle w:val="Hyperlink"/>
          </w:rPr>
          <w:t xml:space="preserve"> </w:t>
        </w:r>
        <w:r>
          <w:rPr>
            <w:rStyle w:val="Hyperlink"/>
          </w:rPr>
          <w:t xml:space="preserve">Standards</w:t>
        </w:r>
      </w:hyperlink>
    </w:p>
    <w:p>
      <w:pPr>
        <w:pStyle w:val="Compact"/>
        <w:numPr>
          <w:ilvl w:val="1"/>
          <w:numId w:val="1029"/>
        </w:numPr>
      </w:pPr>
      <w:hyperlink r:id="rId143">
        <w:r>
          <w:rPr>
            <w:rStyle w:val="Hyperlink"/>
          </w:rPr>
          <w:t xml:space="preserve">Hakai Institute Juvenile Salmon</w:t>
        </w:r>
        <w:r>
          <w:rPr>
            <w:rStyle w:val="Hyperlink"/>
          </w:rPr>
          <w:t xml:space="preserve"> </w:t>
        </w:r>
        <w:r>
          <w:rPr>
            <w:rStyle w:val="Hyperlink"/>
          </w:rPr>
          <w:t xml:space="preserve">Program</w:t>
        </w:r>
      </w:hyperlink>
    </w:p>
    <w:bookmarkEnd w:id="144"/>
    <w:bookmarkStart w:id="149"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45">
        <w:r>
          <w:rPr>
            <w:rStyle w:val="Hyperlink"/>
          </w:rPr>
          <w:t xml:space="preserve">DOIs via DataCite</w:t>
        </w:r>
      </w:hyperlink>
    </w:p>
    <w:p>
      <w:pPr>
        <w:pStyle w:val="Compact"/>
        <w:numPr>
          <w:ilvl w:val="1"/>
          <w:numId w:val="1031"/>
        </w:numPr>
      </w:pPr>
      <w:hyperlink r:id="rId146">
        <w:r>
          <w:rPr>
            <w:rStyle w:val="Hyperlink"/>
          </w:rPr>
          <w:t xml:space="preserve">ORCID IDs</w:t>
        </w:r>
      </w:hyperlink>
    </w:p>
    <w:p>
      <w:pPr>
        <w:pStyle w:val="Compact"/>
        <w:numPr>
          <w:ilvl w:val="1"/>
          <w:numId w:val="1031"/>
        </w:numPr>
      </w:pPr>
      <w:hyperlink r:id="rId147">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48">
        <w:r>
          <w:rPr>
            <w:rStyle w:val="Hyperlink"/>
          </w:rPr>
          <w:t xml:space="preserve">Introduction to PIDs (DataCite Blog)</w:t>
        </w:r>
      </w:hyperlink>
    </w:p>
    <w:bookmarkEnd w:id="149"/>
    <w:bookmarkStart w:id="154"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8">
        <w:r>
          <w:rPr>
            <w:rStyle w:val="Hyperlink"/>
          </w:rPr>
          <w:t xml:space="preserve">Salmon Ocean Observing</w:t>
        </w:r>
        <w:r>
          <w:rPr>
            <w:rStyle w:val="Hyperlink"/>
          </w:rPr>
          <w:t xml:space="preserve"> </w:t>
        </w:r>
        <w:r>
          <w:rPr>
            <w:rStyle w:val="Hyperlink"/>
          </w:rPr>
          <w:t xml:space="preserve">System</w:t>
        </w:r>
      </w:hyperlink>
    </w:p>
    <w:p>
      <w:pPr>
        <w:pStyle w:val="Compact"/>
        <w:numPr>
          <w:ilvl w:val="1"/>
          <w:numId w:val="1034"/>
        </w:numPr>
      </w:pPr>
      <w:r>
        <w:t xml:space="preserve">Bull et al. 2022</w:t>
      </w:r>
      <w:r>
        <w:t xml:space="preserve"> </w:t>
      </w:r>
      <w:hyperlink r:id="rId40">
        <w:r>
          <w:rPr>
            <w:rStyle w:val="Hyperlink"/>
          </w:rPr>
          <w:t xml:space="preserve">Likely Suspects</w:t>
        </w:r>
        <w:r>
          <w:rPr>
            <w:rStyle w:val="Hyperlink"/>
          </w:rPr>
          <w:t xml:space="preserve"> </w:t>
        </w:r>
        <w:r>
          <w:rPr>
            <w:rStyle w:val="Hyperlink"/>
          </w:rPr>
          <w:t xml:space="preserve">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50">
        <w:r>
          <w:rPr>
            <w:rStyle w:val="Hyperlink"/>
          </w:rPr>
          <w:t xml:space="preserve">FastAPI</w:t>
        </w:r>
      </w:hyperlink>
      <w:r>
        <w:t xml:space="preserve">,</w:t>
      </w:r>
      <w:r>
        <w:t xml:space="preserve"> </w:t>
      </w:r>
      <w:hyperlink r:id="rId151">
        <w:r>
          <w:rPr>
            <w:rStyle w:val="Hyperlink"/>
          </w:rPr>
          <w:t xml:space="preserve">Flask</w:t>
        </w:r>
      </w:hyperlink>
      <w:r>
        <w:t xml:space="preserve">,</w:t>
      </w:r>
      <w:r>
        <w:t xml:space="preserve"> </w:t>
      </w:r>
      <w:hyperlink r:id="rId152">
        <w:r>
          <w:rPr>
            <w:rStyle w:val="Hyperlink"/>
          </w:rPr>
          <w:t xml:space="preserve">Django REST</w:t>
        </w:r>
        <w:r>
          <w:rPr>
            <w:rStyle w:val="Hyperlink"/>
          </w:rPr>
          <w:t xml:space="preserve"> </w:t>
        </w:r>
        <w:r>
          <w:rPr>
            <w:rStyle w:val="Hyperlink"/>
          </w:rPr>
          <w:t xml:space="preserve">Framework</w:t>
        </w:r>
      </w:hyperlink>
    </w:p>
    <w:p>
      <w:pPr>
        <w:pStyle w:val="Compact"/>
        <w:numPr>
          <w:ilvl w:val="1"/>
          <w:numId w:val="1035"/>
        </w:numPr>
      </w:pPr>
      <w:hyperlink r:id="rId153">
        <w:r>
          <w:rPr>
            <w:rStyle w:val="Hyperlink"/>
          </w:rPr>
          <w:t xml:space="preserve">Zenodo-GitHub</w:t>
        </w:r>
        <w:r>
          <w:rPr>
            <w:rStyle w:val="Hyperlink"/>
          </w:rPr>
          <w:t xml:space="preserve"> </w:t>
        </w:r>
        <w:r>
          <w:rPr>
            <w:rStyle w:val="Hyperlink"/>
          </w:rPr>
          <w:t xml:space="preserve">Integration</w:t>
        </w:r>
      </w:hyperlink>
    </w:p>
    <w:bookmarkEnd w:id="154"/>
    <w:bookmarkStart w:id="158"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55">
        <w:r>
          <w:rPr>
            <w:rStyle w:val="Hyperlink"/>
          </w:rPr>
          <w:t xml:space="preserve">Creative Commons Attribution 4.0 International</w:t>
        </w:r>
        <w:r>
          <w:rPr>
            <w:rStyle w:val="Hyperlink"/>
          </w:rPr>
          <w:t xml:space="preserve"> </w:t>
        </w:r>
        <w:r>
          <w:rPr>
            <w:rStyle w:val="Hyperlink"/>
          </w:rPr>
          <w:t xml:space="preserve">License</w:t>
        </w:r>
      </w:hyperlink>
    </w:p>
    <w:p>
      <w:pPr>
        <w:pStyle w:val="Compact"/>
        <w:numPr>
          <w:ilvl w:val="0"/>
          <w:numId w:val="1036"/>
        </w:numPr>
      </w:pPr>
      <w:r>
        <w:rPr>
          <w:b/>
          <w:bCs/>
        </w:rPr>
        <w:t xml:space="preserve">Tracking &amp; Metrics:</w:t>
      </w:r>
    </w:p>
    <w:p>
      <w:pPr>
        <w:pStyle w:val="Compact"/>
        <w:numPr>
          <w:ilvl w:val="1"/>
          <w:numId w:val="1038"/>
        </w:numPr>
      </w:pPr>
      <w:hyperlink r:id="rId156">
        <w:r>
          <w:rPr>
            <w:rStyle w:val="Hyperlink"/>
          </w:rPr>
          <w:t xml:space="preserve">COUNTER Metrics</w:t>
        </w:r>
      </w:hyperlink>
    </w:p>
    <w:p>
      <w:pPr>
        <w:pStyle w:val="Compact"/>
        <w:numPr>
          <w:ilvl w:val="1"/>
          <w:numId w:val="1038"/>
        </w:numPr>
      </w:pPr>
      <w:hyperlink r:id="rId157">
        <w:r>
          <w:rPr>
            <w:rStyle w:val="Hyperlink"/>
          </w:rPr>
          <w:t xml:space="preserve">DataCite API</w:t>
        </w:r>
      </w:hyperlink>
    </w:p>
    <w:bookmarkEnd w:id="158"/>
    <w:bookmarkStart w:id="162"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9">
        <w:r>
          <w:rPr>
            <w:rStyle w:val="Hyperlink"/>
          </w:rPr>
          <w:t xml:space="preserve">Research Data Alliance Salmon Research</w:t>
        </w:r>
        <w:r>
          <w:rPr>
            <w:rStyle w:val="Hyperlink"/>
          </w:rPr>
          <w:t xml:space="preserve"> </w:t>
        </w:r>
        <w:r>
          <w:rPr>
            <w:rStyle w:val="Hyperlink"/>
          </w:rPr>
          <w:t xml:space="preserve">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60">
        <w:r>
          <w:rPr>
            <w:rStyle w:val="Hyperlink"/>
          </w:rPr>
          <w:t xml:space="preserve">Interaction Design</w:t>
        </w:r>
        <w:r>
          <w:rPr>
            <w:rStyle w:val="Hyperlink"/>
          </w:rPr>
          <w:t xml:space="preserve"> </w:t>
        </w:r>
        <w:r>
          <w:rPr>
            <w:rStyle w:val="Hyperlink"/>
          </w:rPr>
          <w:t xml:space="preserve">Foundation</w:t>
        </w:r>
      </w:hyperlink>
      <w:r>
        <w:t xml:space="preserve">)</w:t>
      </w:r>
    </w:p>
    <w:p>
      <w:pPr>
        <w:pStyle w:val="Compact"/>
        <w:numPr>
          <w:ilvl w:val="1"/>
          <w:numId w:val="1041"/>
        </w:numPr>
      </w:pPr>
      <w:r>
        <w:t xml:space="preserve">Community Engaged Research (</w:t>
      </w:r>
      <w:hyperlink r:id="rId161">
        <w:r>
          <w:rPr>
            <w:rStyle w:val="Hyperlink"/>
          </w:rPr>
          <w:t xml:space="preserve">University of Victoria</w:t>
        </w:r>
        <w:r>
          <w:rPr>
            <w:rStyle w:val="Hyperlink"/>
          </w:rPr>
          <w:t xml:space="preserve"> </w:t>
        </w:r>
        <w:r>
          <w:rPr>
            <w:rStyle w:val="Hyperlink"/>
          </w:rPr>
          <w:t xml:space="preserve">Guide</w:t>
        </w:r>
      </w:hyperlink>
      <w:r>
        <w:t xml:space="preserve">)</w:t>
      </w:r>
    </w:p>
    <w:bookmarkEnd w:id="162"/>
    <w:bookmarkStart w:id="168"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63">
        <w:r>
          <w:rPr>
            <w:rStyle w:val="Hyperlink"/>
          </w:rPr>
          <w:t xml:space="preserve">Introduction to Open Science</w:t>
        </w:r>
        <w:r>
          <w:rPr>
            <w:rStyle w:val="Hyperlink"/>
          </w:rPr>
          <w:t xml:space="preserve"> </w:t>
        </w:r>
        <w:r>
          <w:rPr>
            <w:rStyle w:val="Hyperlink"/>
          </w:rPr>
          <w:t xml:space="preserve">(FOSTER)</w:t>
        </w:r>
      </w:hyperlink>
    </w:p>
    <w:p>
      <w:pPr>
        <w:pStyle w:val="Compact"/>
        <w:numPr>
          <w:ilvl w:val="1"/>
          <w:numId w:val="1043"/>
        </w:numPr>
      </w:pPr>
      <w:hyperlink r:id="rId164">
        <w:r>
          <w:rPr>
            <w:rStyle w:val="Hyperlink"/>
          </w:rPr>
          <w:t xml:space="preserve">Research Data Management and Sharing</w:t>
        </w:r>
        <w:r>
          <w:rPr>
            <w:rStyle w:val="Hyperlink"/>
          </w:rPr>
          <w:t xml:space="preserve"> </w:t>
        </w:r>
        <w:r>
          <w:rPr>
            <w:rStyle w:val="Hyperlink"/>
          </w:rPr>
          <w:t xml:space="preserve">(Coursera)</w:t>
        </w:r>
      </w:hyperlink>
    </w:p>
    <w:p>
      <w:pPr>
        <w:pStyle w:val="Compact"/>
        <w:numPr>
          <w:ilvl w:val="0"/>
          <w:numId w:val="1042"/>
        </w:numPr>
      </w:pPr>
      <w:r>
        <w:rPr>
          <w:b/>
          <w:bCs/>
        </w:rPr>
        <w:t xml:space="preserve">Blogs &amp; Websites:</w:t>
      </w:r>
    </w:p>
    <w:p>
      <w:pPr>
        <w:pStyle w:val="Compact"/>
        <w:numPr>
          <w:ilvl w:val="1"/>
          <w:numId w:val="1044"/>
        </w:numPr>
      </w:pPr>
      <w:hyperlink r:id="rId165">
        <w:r>
          <w:rPr>
            <w:rStyle w:val="Hyperlink"/>
          </w:rPr>
          <w:t xml:space="preserve">Open Knowledge Foundation Blog</w:t>
        </w:r>
      </w:hyperlink>
    </w:p>
    <w:p>
      <w:pPr>
        <w:pStyle w:val="Compact"/>
        <w:numPr>
          <w:ilvl w:val="1"/>
          <w:numId w:val="1044"/>
        </w:numPr>
      </w:pPr>
      <w:hyperlink r:id="rId166">
        <w:r>
          <w:rPr>
            <w:rStyle w:val="Hyperlink"/>
          </w:rPr>
          <w:t xml:space="preserve">DataONE Data Management</w:t>
        </w:r>
        <w:r>
          <w:rPr>
            <w:rStyle w:val="Hyperlink"/>
          </w:rPr>
          <w:t xml:space="preserve"> </w:t>
        </w:r>
        <w:r>
          <w:rPr>
            <w:rStyle w:val="Hyperlink"/>
          </w:rPr>
          <w:t xml:space="preserve">Resources</w:t>
        </w:r>
      </w:hyperlink>
    </w:p>
    <w:p>
      <w:pPr>
        <w:pStyle w:val="FirstParagraph"/>
      </w:pPr>
      <w:r>
        <w:t xml:space="preserve">This roadmap serves as a structured guide to equip salmon biologists</w:t>
      </w:r>
      <w:r>
        <w:t xml:space="preserve"> </w:t>
      </w:r>
      <w:r>
        <w:t xml:space="preserve">with the practical and theoretical skills required to excel in data</w:t>
      </w:r>
      <w:r>
        <w:t xml:space="preserve"> </w:t>
      </w:r>
      <w:r>
        <w:t xml:space="preserve">stewardship roles.</w:t>
      </w:r>
    </w:p>
    <w:p>
      <w:pPr>
        <w:pStyle w:val="BodyText"/>
      </w:pPr>
      <w:r>
        <w:rPr>
          <w:vertAlign w:val="subscript"/>
        </w:rPr>
        <w:t xml:space="preserve">Source:</w:t>
      </w:r>
      <w:r>
        <w:rPr>
          <w:vertAlign w:val="subscript"/>
        </w:rPr>
        <w:t xml:space="preserve"> </w:t>
      </w:r>
      <w:hyperlink r:id="rId167">
        <w:r>
          <w:rPr>
            <w:rStyle w:val="Hyperlink"/>
            <w:vertAlign w:val="subscript"/>
          </w:rPr>
          <w:t xml:space="preserve">Appendix 2: Training Roadmap for Salmon Biologists Transitioning to Data Stewardship</w:t>
        </w:r>
      </w:hyperlink>
    </w:p>
    <w:bookmarkEnd w:id="168"/>
    <w:bookmarkEnd w:id="169"/>
    <w:bookmarkEnd w:id="170"/>
    <w:bookmarkStart w:id="172" w:name="section-2"/>
    <w:p>
      <w:pPr>
        <w:pStyle w:val="Heading1"/>
      </w:pPr>
    </w:p>
    <w:bookmarkStart w:id="171" w:name="appendix-3-getting-started-checklist"/>
    <w:p>
      <w:pPr>
        <w:pStyle w:val="Heading2"/>
      </w:pPr>
      <w:r>
        <w:t xml:space="preserve">Appendix 3: Getting Started Checklist</w:t>
      </w:r>
    </w:p>
    <w:bookmarkEnd w:id="171"/>
    <w:bookmarkEnd w:id="172"/>
    <w:bookmarkStart w:id="201"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w:t>
      </w:r>
      <w:r>
        <w:t xml:space="preserve"> </w:t>
      </w:r>
      <w:r>
        <w:t xml:space="preserve">or organization aligns to the seven Best Practices. Start at the Project</w:t>
      </w:r>
      <w:r>
        <w:t xml:space="preserve"> </w:t>
      </w:r>
      <w:r>
        <w:t xml:space="preserve">level, then scale to Program and Organization. Check off items you’ve</w:t>
      </w:r>
      <w:r>
        <w:t xml:space="preserve"> </w:t>
      </w:r>
      <w:r>
        <w:t xml:space="preserve">completed and note gaps to prioritize.</w:t>
      </w:r>
    </w:p>
    <w:p>
      <w:pPr>
        <w:pStyle w:val="BodyText"/>
      </w:pPr>
      <w:r>
        <w:t xml:space="preserve">Tip: For each item, capture a link to the living source (e.g.,</w:t>
      </w:r>
      <w:r>
        <w:t xml:space="preserve"> </w:t>
      </w:r>
      <w:r>
        <w:t xml:space="preserve">repository, shared drive, policy page) and the responsible owner.</w:t>
      </w:r>
    </w:p>
    <w:bookmarkStart w:id="176" w:name="practice-1-make-data-governance-explicit"/>
    <w:p>
      <w:pPr>
        <w:pStyle w:val="Heading2"/>
      </w:pPr>
      <w:r>
        <w:t xml:space="preserve">Practice 1 — Make Data Governance Explicit</w:t>
      </w:r>
    </w:p>
    <w:bookmarkStart w:id="173"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73"/>
    <w:bookmarkStart w:id="174"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74"/>
    <w:bookmarkStart w:id="175"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w:t>
      </w:r>
      <w:r>
        <w:t xml:space="preserve"> </w:t>
      </w:r>
      <w:r>
        <w:t xml:space="preserve">guidance, sharing agreements registry.</w:t>
      </w:r>
    </w:p>
    <w:bookmarkEnd w:id="175"/>
    <w:bookmarkEnd w:id="176"/>
    <w:bookmarkStart w:id="180" w:name="practice-2-reuse-proven-infrastructure"/>
    <w:p>
      <w:pPr>
        <w:pStyle w:val="Heading2"/>
      </w:pPr>
      <w:r>
        <w:t xml:space="preserve">Practice 2 — Reuse Proven Infrastructure</w:t>
      </w:r>
    </w:p>
    <w:bookmarkStart w:id="177"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177"/>
    <w:bookmarkStart w:id="178"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178"/>
    <w:bookmarkStart w:id="179"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w:t>
      </w:r>
      <w:r>
        <w:t xml:space="preserve"> </w:t>
      </w:r>
      <w:r>
        <w:t xml:space="preserve">criteria, backup/DR documentation.</w:t>
      </w:r>
    </w:p>
    <w:bookmarkEnd w:id="179"/>
    <w:bookmarkEnd w:id="180"/>
    <w:bookmarkStart w:id="184" w:name="Xd5ee02bc2d4148b1f0172bd1728e238823753c5"/>
    <w:p>
      <w:pPr>
        <w:pStyle w:val="Heading2"/>
      </w:pPr>
      <w:r>
        <w:t xml:space="preserve">Practice 3 — Use Persistent Identifiers (PIDs) for People, Projects, Data, and Methods</w:t>
      </w:r>
    </w:p>
    <w:bookmarkStart w:id="181"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181"/>
    <w:bookmarkStart w:id="182"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182"/>
    <w:bookmarkStart w:id="183"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w:t>
      </w:r>
      <w:r>
        <w:t xml:space="preserve"> </w:t>
      </w:r>
      <w:r>
        <w:t xml:space="preserve">in the catalog.</w:t>
      </w:r>
    </w:p>
    <w:bookmarkEnd w:id="183"/>
    <w:bookmarkEnd w:id="184"/>
    <w:bookmarkStart w:id="188" w:name="Xf9fd600ab9a6d62c48506102a263b71f9becf16"/>
    <w:p>
      <w:pPr>
        <w:pStyle w:val="Heading2"/>
      </w:pPr>
      <w:r>
        <w:t xml:space="preserve">Practice 4 — Shared Data Models, Vocabularies, and Metadata</w:t>
      </w:r>
    </w:p>
    <w:bookmarkStart w:id="185"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185"/>
    <w:bookmarkStart w:id="186"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186"/>
    <w:bookmarkStart w:id="187"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w:t>
      </w:r>
      <w:r>
        <w:t xml:space="preserve"> </w:t>
      </w:r>
      <w:r>
        <w:t xml:space="preserve">schema validators, mapping documentation.</w:t>
      </w:r>
    </w:p>
    <w:bookmarkEnd w:id="187"/>
    <w:bookmarkEnd w:id="188"/>
    <w:bookmarkStart w:id="192" w:name="X1953933a9a9dcdc8d482995d59b75af7f7e8d2c"/>
    <w:p>
      <w:pPr>
        <w:pStyle w:val="Heading2"/>
      </w:pPr>
      <w:r>
        <w:t xml:space="preserve">Practice 5 — Store and Analyze Data for Easy Access, Use, and Trust</w:t>
      </w:r>
    </w:p>
    <w:bookmarkStart w:id="189"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189"/>
    <w:bookmarkStart w:id="190"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190"/>
    <w:bookmarkStart w:id="191"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w:t>
      </w:r>
      <w:r>
        <w:t xml:space="preserve"> </w:t>
      </w:r>
      <w:r>
        <w:t xml:space="preserve">references, QA/QC reports, storage/backup settings.</w:t>
      </w:r>
    </w:p>
    <w:bookmarkEnd w:id="191"/>
    <w:bookmarkEnd w:id="192"/>
    <w:bookmarkStart w:id="196" w:name="X09eeb7331e7661c0e600debc39b8121143e6e9d"/>
    <w:p>
      <w:pPr>
        <w:pStyle w:val="Heading2"/>
      </w:pPr>
      <w:r>
        <w:t xml:space="preserve">Practice 6 — Incentivize and Track Sharing and Reuse</w:t>
      </w:r>
    </w:p>
    <w:bookmarkStart w:id="193"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193"/>
    <w:bookmarkStart w:id="194"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194"/>
    <w:bookmarkStart w:id="195"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w:t>
      </w:r>
      <w:r>
        <w:t xml:space="preserve"> </w:t>
      </w:r>
      <w:r>
        <w:t xml:space="preserve">excerpts, sample citations in reports.</w:t>
      </w:r>
    </w:p>
    <w:bookmarkEnd w:id="195"/>
    <w:bookmarkEnd w:id="196"/>
    <w:bookmarkStart w:id="200" w:name="Xf1ef7e3eb857b993ceb364de2f4e82691aed878"/>
    <w:p>
      <w:pPr>
        <w:pStyle w:val="Heading2"/>
      </w:pPr>
      <w:r>
        <w:t xml:space="preserve">Practice 7 — Build Community Through Co‑Development and Mutual Benefit</w:t>
      </w:r>
    </w:p>
    <w:bookmarkStart w:id="197"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197"/>
    <w:bookmarkStart w:id="198"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198"/>
    <w:bookmarkStart w:id="199"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w:t>
      </w:r>
      <w:r>
        <w:t xml:space="preserve"> </w:t>
      </w:r>
      <w:r>
        <w:t xml:space="preserve">working group notes, decision log.</w:t>
      </w:r>
    </w:p>
    <w:p>
      <w:r>
        <w:pict>
          <v:rect style="width:0;height:1.5pt" o:hralign="center" o:hrstd="t" o:hr="t"/>
        </w:pict>
      </w:r>
    </w:p>
    <w:bookmarkEnd w:id="199"/>
    <w:bookmarkEnd w:id="200"/>
    <w:bookmarkEnd w:id="201"/>
    <w:bookmarkStart w:id="202" w:name="quick-start-306090day-plan"/>
    <w:p>
      <w:pPr>
        <w:pStyle w:val="Heading1"/>
      </w:pPr>
      <w:r>
        <w:t xml:space="preserve">Quick Start: 30/60/90‑Day Plan</w:t>
      </w:r>
    </w:p>
    <w:p>
      <w:pPr>
        <w:pStyle w:val="Compact"/>
        <w:numPr>
          <w:ilvl w:val="0"/>
          <w:numId w:val="1045"/>
        </w:numPr>
      </w:pPr>
      <w:r>
        <w:t xml:space="preserve">First 30 days</w:t>
      </w:r>
    </w:p>
    <w:p>
      <w:pPr>
        <w:pStyle w:val="Compact"/>
        <w:numPr>
          <w:ilvl w:val="1"/>
          <w:numId w:val="1046"/>
        </w:numPr>
      </w:pPr>
      <w:r>
        <w:t xml:space="preserve">Create/standardize DMP + RACI; draft data product charters for</w:t>
      </w:r>
      <w:r>
        <w:t xml:space="preserve"> </w:t>
      </w:r>
      <w:r>
        <w:t xml:space="preserve">top 1–2 datasets.</w:t>
      </w:r>
    </w:p>
    <w:p>
      <w:pPr>
        <w:pStyle w:val="Compact"/>
        <w:numPr>
          <w:ilvl w:val="1"/>
          <w:numId w:val="1047"/>
        </w:numPr>
      </w:pPr>
      <w:r>
        <w:t xml:space="preserve">Move code to version control; document repo structure; capture</w:t>
      </w:r>
      <w:r>
        <w:t xml:space="preserve"> </w:t>
      </w:r>
      <w:r>
        <w:t xml:space="preserve">environment file.</w:t>
      </w:r>
    </w:p>
    <w:p>
      <w:pPr>
        <w:pStyle w:val="Compact"/>
        <w:numPr>
          <w:ilvl w:val="1"/>
          <w:numId w:val="1048"/>
        </w:numPr>
      </w:pPr>
      <w:r>
        <w:t xml:space="preserve">Choose metadata profile and draft a minimal data dictionary;</w:t>
      </w:r>
      <w:r>
        <w:t xml:space="preserve"> </w:t>
      </w:r>
      <w:r>
        <w:t xml:space="preserve">list code lists in use.</w:t>
      </w:r>
    </w:p>
    <w:p>
      <w:pPr>
        <w:pStyle w:val="Compact"/>
        <w:numPr>
          <w:ilvl w:val="0"/>
          <w:numId w:val="1045"/>
        </w:numPr>
      </w:pPr>
      <w:r>
        <w:t xml:space="preserve">By 60 days</w:t>
      </w:r>
    </w:p>
    <w:p>
      <w:pPr>
        <w:pStyle w:val="Compact"/>
        <w:numPr>
          <w:ilvl w:val="1"/>
          <w:numId w:val="1049"/>
        </w:numPr>
      </w:pPr>
      <w:r>
        <w:t xml:space="preserve">Mint/plan PIDs (project page/protocols), add ORCIDs to metadata,</w:t>
      </w:r>
      <w:r>
        <w:t xml:space="preserve"> </w:t>
      </w:r>
      <w:r>
        <w:t xml:space="preserve">prepare DOI for first dataset.</w:t>
      </w:r>
    </w:p>
    <w:p>
      <w:pPr>
        <w:pStyle w:val="Compact"/>
        <w:numPr>
          <w:ilvl w:val="1"/>
          <w:numId w:val="1050"/>
        </w:numPr>
      </w:pPr>
      <w:r>
        <w:t xml:space="preserve">Add schema + vocab validation to CI; separate raw/processed;</w:t>
      </w:r>
      <w:r>
        <w:t xml:space="preserve"> </w:t>
      </w:r>
      <w:r>
        <w:t xml:space="preserve">automate QA/QC checks.</w:t>
      </w:r>
    </w:p>
    <w:p>
      <w:pPr>
        <w:pStyle w:val="Compact"/>
        <w:numPr>
          <w:ilvl w:val="1"/>
          <w:numId w:val="1051"/>
        </w:numPr>
      </w:pPr>
      <w:r>
        <w:t xml:space="preserve">Stand up a reuse dashboard or basic metrics capture; add</w:t>
      </w:r>
      <w:r>
        <w:t xml:space="preserve"> </w:t>
      </w:r>
      <w:r>
        <w:t xml:space="preserve">citation/license to README and metadata.</w:t>
      </w:r>
    </w:p>
    <w:p>
      <w:pPr>
        <w:pStyle w:val="Compact"/>
        <w:numPr>
          <w:ilvl w:val="0"/>
          <w:numId w:val="1045"/>
        </w:numPr>
      </w:pPr>
      <w:r>
        <w:t xml:space="preserve">By 90 days</w:t>
      </w:r>
    </w:p>
    <w:p>
      <w:pPr>
        <w:pStyle w:val="Compact"/>
        <w:numPr>
          <w:ilvl w:val="1"/>
          <w:numId w:val="1052"/>
        </w:numPr>
      </w:pPr>
      <w:r>
        <w:t xml:space="preserve">Publish first governed release to approved repository with DOI</w:t>
      </w:r>
      <w:r>
        <w:t xml:space="preserve"> </w:t>
      </w:r>
      <w:r>
        <w:t xml:space="preserve">and complete metadata.</w:t>
      </w:r>
    </w:p>
    <w:p>
      <w:pPr>
        <w:pStyle w:val="Compact"/>
        <w:numPr>
          <w:ilvl w:val="1"/>
          <w:numId w:val="1053"/>
        </w:numPr>
      </w:pPr>
      <w:r>
        <w:t xml:space="preserve">Formalize cross‑project working group and change control for</w:t>
      </w:r>
      <w:r>
        <w:t xml:space="preserve"> </w:t>
      </w:r>
      <w:r>
        <w:t xml:space="preserve">vocabularies.</w:t>
      </w:r>
    </w:p>
    <w:p>
      <w:pPr>
        <w:pStyle w:val="Compact"/>
        <w:numPr>
          <w:ilvl w:val="1"/>
          <w:numId w:val="1054"/>
        </w:numPr>
      </w:pPr>
      <w:r>
        <w:t xml:space="preserve">Document archival/retention path and verify backups; schedule</w:t>
      </w:r>
      <w:r>
        <w:t xml:space="preserve"> </w:t>
      </w:r>
      <w:r>
        <w:t xml:space="preserve">governance reviews.</w:t>
      </w:r>
    </w:p>
    <w:p>
      <w:r>
        <w:pict>
          <v:rect style="width:0;height:1.5pt" o:hralign="center" o:hrstd="t" o:hr="t"/>
        </w:pict>
      </w:r>
    </w:p>
    <w:bookmarkEnd w:id="202"/>
    <w:bookmarkStart w:id="204" w:name="X5baba2ffe9b3bc899417ced2108067196c8d8e9"/>
    <w:p>
      <w:pPr>
        <w:pStyle w:val="Heading1"/>
      </w:pPr>
      <w:r>
        <w:t xml:space="preserve">Minimal Artifacts Checklist (Project Level)</w:t>
      </w:r>
    </w:p>
    <w:p>
      <w:pPr>
        <w:pStyle w:val="Compact"/>
        <w:numPr>
          <w:ilvl w:val="0"/>
          <w:numId w:val="1055"/>
        </w:numPr>
      </w:pPr>
      <w:r>
        <w:t xml:space="preserve">DMP (with IDS considerations) and RACI</w:t>
      </w:r>
    </w:p>
    <w:p>
      <w:pPr>
        <w:pStyle w:val="Compact"/>
        <w:numPr>
          <w:ilvl w:val="0"/>
          <w:numId w:val="1056"/>
        </w:numPr>
      </w:pPr>
      <w:r>
        <w:t xml:space="preserve">Data product charter(s) for priority dataset(s)</w:t>
      </w:r>
    </w:p>
    <w:p>
      <w:pPr>
        <w:pStyle w:val="Compact"/>
        <w:numPr>
          <w:ilvl w:val="0"/>
          <w:numId w:val="1057"/>
        </w:numPr>
      </w:pPr>
      <w:r>
        <w:t xml:space="preserve">Versioned repository with releases and changelog</w:t>
      </w:r>
    </w:p>
    <w:p>
      <w:pPr>
        <w:pStyle w:val="Compact"/>
        <w:numPr>
          <w:ilvl w:val="0"/>
          <w:numId w:val="1058"/>
        </w:numPr>
      </w:pPr>
      <w:r>
        <w:t xml:space="preserve">Metadata profile file + data dictionary + code lists</w:t>
      </w:r>
    </w:p>
    <w:p>
      <w:pPr>
        <w:pStyle w:val="Compact"/>
        <w:numPr>
          <w:ilvl w:val="0"/>
          <w:numId w:val="1059"/>
        </w:numPr>
      </w:pPr>
      <w:r>
        <w:t xml:space="preserve">Reproducible workflow + environment file or container</w:t>
      </w:r>
    </w:p>
    <w:p>
      <w:pPr>
        <w:pStyle w:val="Compact"/>
        <w:numPr>
          <w:ilvl w:val="0"/>
          <w:numId w:val="1060"/>
        </w:numPr>
      </w:pPr>
      <w:r>
        <w:t xml:space="preserve">QA/QC checks and results log</w:t>
      </w:r>
    </w:p>
    <w:p>
      <w:pPr>
        <w:pStyle w:val="Compact"/>
        <w:numPr>
          <w:ilvl w:val="0"/>
          <w:numId w:val="1061"/>
        </w:numPr>
      </w:pPr>
      <w:r>
        <w:t xml:space="preserve">Citation and license statements</w:t>
      </w:r>
    </w:p>
    <w:p>
      <w:pPr>
        <w:pStyle w:val="Compact"/>
        <w:numPr>
          <w:ilvl w:val="0"/>
          <w:numId w:val="1062"/>
        </w:numPr>
      </w:pPr>
      <w:r>
        <w:t xml:space="preserve">Plan for PIDs (ORCID list, dataset/protocol DOIs)</w:t>
      </w:r>
    </w:p>
    <w:p>
      <w:pPr>
        <w:pStyle w:val="Compact"/>
        <w:numPr>
          <w:ilvl w:val="0"/>
          <w:numId w:val="1063"/>
        </w:numPr>
      </w:pPr>
      <w:r>
        <w:t xml:space="preserve">Evidence of stakeholder engagement and roadmap</w:t>
      </w:r>
    </w:p>
    <w:p>
      <w:pPr>
        <w:pStyle w:val="FirstParagraph"/>
      </w:pPr>
      <w:r>
        <w:t xml:space="preserve">Maintain this list as a living issue in your repository and review</w:t>
      </w:r>
      <w:r>
        <w:t xml:space="preserve"> </w:t>
      </w:r>
      <w:r>
        <w:t xml:space="preserve">quarterly.</w:t>
      </w:r>
    </w:p>
    <w:p>
      <w:pPr>
        <w:pStyle w:val="BodyText"/>
      </w:pPr>
      <w:r>
        <w:rPr>
          <w:vertAlign w:val="subscript"/>
        </w:rPr>
        <w:t xml:space="preserve">Source:</w:t>
      </w:r>
      <w:r>
        <w:rPr>
          <w:vertAlign w:val="subscript"/>
        </w:rPr>
        <w:t xml:space="preserve"> </w:t>
      </w:r>
      <w:hyperlink r:id="rId203">
        <w:r>
          <w:rPr>
            <w:rStyle w:val="Hyperlink"/>
            <w:vertAlign w:val="subscript"/>
          </w:rPr>
          <w:t xml:space="preserve">Appendix 3: Getting Started Checklist</w:t>
        </w:r>
      </w:hyperlink>
    </w:p>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4" Target="http://www.cohencommission.ca/" TargetMode="External" /><Relationship Type="http://schemas.openxmlformats.org/officeDocument/2006/relationships/hyperlink" Id="rId117" Target="https://api.ptagis.org/index.html#:~:text=PTAGIS%20API%20Gets%20a%20list,PTAGIS%20and%20currently%20contributing%20data" TargetMode="External" /><Relationship Type="http://schemas.openxmlformats.org/officeDocument/2006/relationships/hyperlink" Id="rId148" Target="https://blog.datacite.org/" TargetMode="External" /><Relationship Type="http://schemas.openxmlformats.org/officeDocument/2006/relationships/hyperlink" Id="rId165" Target="https://blog.okfn.org/" TargetMode="External" /><Relationship Type="http://schemas.openxmlformats.org/officeDocument/2006/relationships/hyperlink" Id="rId52" Target="https://books.google.ca/books?id=I_S0xCME0CYC" TargetMode="External" /><Relationship Type="http://schemas.openxmlformats.org/officeDocument/2006/relationships/hyperlink" Id="rId127" Target="https://br-johnson.github.io/sdm-paper/appendices/appendix-1-real-world-examples-preview.html#f74d3bc4-54eb-4715-971f-d77b337c50f9" TargetMode="External" /><Relationship Type="http://schemas.openxmlformats.org/officeDocument/2006/relationships/hyperlink" Id="rId167" Target="https://br-johnson.github.io/sdm-paper/appendices/appendix-2-training-roadmap-preview.html#718196ae-8a7f-4f9d-94a8-00b0045c1356" TargetMode="External" /><Relationship Type="http://schemas.openxmlformats.org/officeDocument/2006/relationships/hyperlink" Id="rId203" Target="https://br-johnson.github.io/sdm-paper/appendices/appendix-3-getting-started-checklist-preview.html#ed8748e7-1461-446c-a601-f2e142e8c505" TargetMode="External" /><Relationship Type="http://schemas.openxmlformats.org/officeDocument/2006/relationships/hyperlink" Id="rId105" Target="https://commons.datacite.org/ror.org/04901nj56" TargetMode="External" /><Relationship Type="http://schemas.openxmlformats.org/officeDocument/2006/relationships/hyperlink" Id="rId155" Target="https://creativecommons.org/licenses/by/4.0/" TargetMode="External" /><Relationship Type="http://schemas.openxmlformats.org/officeDocument/2006/relationships/hyperlink" Id="rId120" Target="https://creativecommons.org/licenses/by/4.0/deed.en" TargetMode="External" /><Relationship Type="http://schemas.openxmlformats.org/officeDocument/2006/relationships/hyperlink" Id="rId106" Target="https://data.npafc.org" TargetMode="External" /><Relationship Type="http://schemas.openxmlformats.org/officeDocument/2006/relationships/hyperlink" Id="rId100" Target="https://data.salmonwatersheds.ca/result?datasetid=2" TargetMode="External" /><Relationship Type="http://schemas.openxmlformats.org/officeDocument/2006/relationships/hyperlink" Id="rId145" Target="https://datacite.org" TargetMode="External" /><Relationship Type="http://schemas.openxmlformats.org/officeDocument/2006/relationships/hyperlink" Id="rId157" Target="https://datacite.org/service.html" TargetMode="External" /><Relationship Type="http://schemas.openxmlformats.org/officeDocument/2006/relationships/hyperlink" Id="rId137" Target="https://dmptool.org" TargetMode="External" /><Relationship Type="http://schemas.openxmlformats.org/officeDocument/2006/relationships/hyperlink" Id="rId93" Target="https://dmptool.org/public_templates?page=ALL" TargetMode="External" /><Relationship Type="http://schemas.openxmlformats.org/officeDocument/2006/relationships/hyperlink" Id="rId80" Target="https://doi.org/10.1007/s00267-014-0258-2" TargetMode="External" /><Relationship Type="http://schemas.openxmlformats.org/officeDocument/2006/relationships/hyperlink" Id="rId76" Target="https://doi.org/10.1016/c2012-0-07057-3" TargetMode="External" /><Relationship Type="http://schemas.openxmlformats.org/officeDocument/2006/relationships/hyperlink" Id="rId56" Target="https://doi.org/10.1038/s41559-023-02161-2" TargetMode="External" /><Relationship Type="http://schemas.openxmlformats.org/officeDocument/2006/relationships/hyperlink" Id="rId86" Target="https://doi.org/10.1038/sdata.2016.18" TargetMode="External" /><Relationship Type="http://schemas.openxmlformats.org/officeDocument/2006/relationships/hyperlink" Id="rId40" Target="https://doi.org/10.1093/icesjms/fsac099" TargetMode="External" /><Relationship Type="http://schemas.openxmlformats.org/officeDocument/2006/relationships/hyperlink" Id="rId82" Target="https://doi.org/10.1101/2025.03.14.643022" TargetMode="External" /><Relationship Type="http://schemas.openxmlformats.org/officeDocument/2006/relationships/hyperlink" Id="rId66" Target="https://doi.org/10.1108/jd-08-2018-0124" TargetMode="External" /><Relationship Type="http://schemas.openxmlformats.org/officeDocument/2006/relationships/hyperlink" Id="rId60" Target="https://doi.org/10.1111/j.1442-9993.2011.02351.x" TargetMode="External" /><Relationship Type="http://schemas.openxmlformats.org/officeDocument/2006/relationships/hyperlink" Id="rId37" Target="https://doi.org/10.1139/cjfas-2024-0387" TargetMode="External" /><Relationship Type="http://schemas.openxmlformats.org/officeDocument/2006/relationships/hyperlink" Id="rId74" Target="https://doi.org/10.1139/f2012-063" TargetMode="External" /><Relationship Type="http://schemas.openxmlformats.org/officeDocument/2006/relationships/hyperlink" Id="rId78" Target="https://doi.org/10.1139/facets-2020-0008" TargetMode="External" /><Relationship Type="http://schemas.openxmlformats.org/officeDocument/2006/relationships/hyperlink" Id="rId98" Target="https://doi.org/10.14286/duc6mu" TargetMode="External" /><Relationship Type="http://schemas.openxmlformats.org/officeDocument/2006/relationships/hyperlink" Id="rId68" Target="https://doi.org/10.17226/12017" TargetMode="External" /><Relationship Type="http://schemas.openxmlformats.org/officeDocument/2006/relationships/hyperlink" Id="rId58" Target="https://doi.org/10.23849/npafcb7/6a4ddpde4" TargetMode="External" /><Relationship Type="http://schemas.openxmlformats.org/officeDocument/2006/relationships/hyperlink" Id="rId46" Target="https://doi.org/10.23849/npafcb7/x3rlpo23a" TargetMode="External" /><Relationship Type="http://schemas.openxmlformats.org/officeDocument/2006/relationships/hyperlink" Id="rId84" Target="https://doi.org/10.3390/su5020478" TargetMode="External" /><Relationship Type="http://schemas.openxmlformats.org/officeDocument/2006/relationships/hyperlink" Id="rId99" Target="https://doi.org/10.5281/zenodo.14194638" TargetMode="External" /><Relationship Type="http://schemas.openxmlformats.org/officeDocument/2006/relationships/hyperlink" Id="rId72" Target="https://doi.org/10.5334/dsj-2018-015" TargetMode="External" /><Relationship Type="http://schemas.openxmlformats.org/officeDocument/2006/relationships/hyperlink" Id="rId44" Target="https://doi.org/10.5334/dsj-2019-031" TargetMode="External" /><Relationship Type="http://schemas.openxmlformats.org/officeDocument/2006/relationships/hyperlink" Id="rId42" Target="https://doi.org/10.5334/dsj-2020-043" TargetMode="External" /><Relationship Type="http://schemas.openxmlformats.org/officeDocument/2006/relationships/hyperlink" Id="rId54" Target="https://doi.org/10.5751/ES-12117-260226" TargetMode="External" /><Relationship Type="http://schemas.openxmlformats.org/officeDocument/2006/relationships/hyperlink" Id="rId109" Target="https://dwc.tdwg.org/" TargetMode="External" /><Relationship Type="http://schemas.openxmlformats.org/officeDocument/2006/relationships/hyperlink" Id="rId141" Target="https://eml.ecoinformatics.org/" TargetMode="External" /><Relationship Type="http://schemas.openxmlformats.org/officeDocument/2006/relationships/hyperlink" Id="rId150" Target="https://fastapi.tiangolo.com" TargetMode="External" /><Relationship Type="http://schemas.openxmlformats.org/officeDocument/2006/relationships/hyperlink" Id="rId94" Target="https://fisheriesservices.nwifc.org/" TargetMode="External" /><Relationship Type="http://schemas.openxmlformats.org/officeDocument/2006/relationships/hyperlink" Id="rId151" Target="https://flask.palletsprojects.com" TargetMode="External" /><Relationship Type="http://schemas.openxmlformats.org/officeDocument/2006/relationships/hyperlink" Id="rId153" Target="https://guides.github.com/activities/citable-code/" TargetMode="External" /><Relationship Type="http://schemas.openxmlformats.org/officeDocument/2006/relationships/hyperlink" Id="rId62" Target="https://localcontexts.org/" TargetMode="External" /><Relationship Type="http://schemas.openxmlformats.org/officeDocument/2006/relationships/hyperlink" Id="rId142" Target="https://marinedata.psf.ca" TargetMode="External" /><Relationship Type="http://schemas.openxmlformats.org/officeDocument/2006/relationships/hyperlink" Id="rId143" Target="https://obis.org/dataset/81a9b931-8f47-49c4-94ff-0e46d7e9f1c9" TargetMode="External" /><Relationship Type="http://schemas.openxmlformats.org/officeDocument/2006/relationships/hyperlink" Id="rId146" Target="https://orcid.org" TargetMode="External" /><Relationship Type="http://schemas.openxmlformats.org/officeDocument/2006/relationships/hyperlink" Id="rId103" Target="https://orcid.org/" TargetMode="External" /><Relationship Type="http://schemas.openxmlformats.org/officeDocument/2006/relationships/hyperlink" Id="rId125" Target="https://pnamp.org/event/workshop-fishing-for-clarity-knowledge-modeling-to-support-cross-organizational-collaboration-and-data-sharing-about-salmon-escapement/" TargetMode="External" /><Relationship Type="http://schemas.openxmlformats.org/officeDocument/2006/relationships/hyperlink" Id="rId50" Target="https://psc1.shinyapps.io/PSC_In_Season_Fraser/" TargetMode="External" /><Relationship Type="http://schemas.openxmlformats.org/officeDocument/2006/relationships/hyperlink" Id="rId92" Target="https://raw.githubusercontent.com/Br-Johnson/sdm-paper/refs/heads/main/examples/Cal_DMP.pdf" TargetMode="External" /><Relationship Type="http://schemas.openxmlformats.org/officeDocument/2006/relationships/hyperlink" Id="rId159" Target="https://rd-alliance.org/groups/salmon-data-management" TargetMode="External" /><Relationship Type="http://schemas.openxmlformats.org/officeDocument/2006/relationships/hyperlink" Id="rId132" Target="https://roadmap.sh" TargetMode="External" /><Relationship Type="http://schemas.openxmlformats.org/officeDocument/2006/relationships/hyperlink" Id="rId147" Target="https://ror.org" TargetMode="External" /><Relationship Type="http://schemas.openxmlformats.org/officeDocument/2006/relationships/hyperlink" Id="rId104" Target="https://ror.org/search?page=1&amp;query=salmon" TargetMode="External" /><Relationship Type="http://schemas.openxmlformats.org/officeDocument/2006/relationships/hyperlink" Id="rId126" Target="https://salmonprize.com" TargetMode="External" /><Relationship Type="http://schemas.openxmlformats.org/officeDocument/2006/relationships/hyperlink" Id="rId112" Target="https://wdfw.wa.gov/fishing/management/hatcheries/escapement#definitions" TargetMode="External" /><Relationship Type="http://schemas.openxmlformats.org/officeDocument/2006/relationships/hyperlink" Id="rId138" Target="https://www.atlassian.com/team-playbook/plays/daci" TargetMode="External" /><Relationship Type="http://schemas.openxmlformats.org/officeDocument/2006/relationships/hyperlink" Id="rId121" Target="https://www.countermetrics.org/" TargetMode="External" /><Relationship Type="http://schemas.openxmlformats.org/officeDocument/2006/relationships/hyperlink" Id="rId164" Target="https://www.coursera.org/learn/data-management" TargetMode="External" /><Relationship Type="http://schemas.openxmlformats.org/officeDocument/2006/relationships/hyperlink" Id="rId166" Target="https://www.dataone.org/resources/" TargetMode="External" /><Relationship Type="http://schemas.openxmlformats.org/officeDocument/2006/relationships/hyperlink" Id="rId152" Target="https://www.django-rest-framework.org" TargetMode="External" /><Relationship Type="http://schemas.openxmlformats.org/officeDocument/2006/relationships/hyperlink" Id="rId163" Target="https://www.fosteropenscience.eu/toolkit" TargetMode="External" /><Relationship Type="http://schemas.openxmlformats.org/officeDocument/2006/relationships/hyperlink" Id="rId113" Target="https://www.fpc.org/111_sharedfiles/ColumbiaRiverBasinAdultFishPassageCountsMetadata.pdf" TargetMode="External" /><Relationship Type="http://schemas.openxmlformats.org/officeDocument/2006/relationships/hyperlink" Id="rId110" Target="https://www.gbif.org/dataset/72de3af4-1572-4f2d-8006-2bfa2007065c" TargetMode="External" /><Relationship Type="http://schemas.openxmlformats.org/officeDocument/2006/relationships/hyperlink" Id="rId111" Target="https://www.gbif.org/dataset/search?project_id=IYS" TargetMode="External" /><Relationship Type="http://schemas.openxmlformats.org/officeDocument/2006/relationships/hyperlink" Id="rId134" Target="https://www.gida-global.org/care" TargetMode="External" /><Relationship Type="http://schemas.openxmlformats.org/officeDocument/2006/relationships/hyperlink" Id="rId133" Target="https://www.go-fair.org/fair-principles/" TargetMode="External" /><Relationship Type="http://schemas.openxmlformats.org/officeDocument/2006/relationships/hyperlink" Id="rId135" Target="https://www.go-fair.org/resources/videos/fair-principles-explained/" TargetMode="External" /><Relationship Type="http://schemas.openxmlformats.org/officeDocument/2006/relationships/hyperlink" Id="rId160" Target="https://www.interaction-design.org/literature/topics/user-centered-design" TargetMode="External" /><Relationship Type="http://schemas.openxmlformats.org/officeDocument/2006/relationships/hyperlink" Id="rId140" Target="https://www.iso.org/standard/53798.html" TargetMode="External" /><Relationship Type="http://schemas.openxmlformats.org/officeDocument/2006/relationships/hyperlink" Id="rId70" Target="https://www.noaa.gov/sites/default/files/2025-03/NAO_212-15B_-_Data_Management_Handbook.pdf" TargetMode="External" /><Relationship Type="http://schemas.openxmlformats.org/officeDocument/2006/relationships/hyperlink" Id="rId156" Target="https://www.projectcounter.org/" TargetMode="External" /><Relationship Type="http://schemas.openxmlformats.org/officeDocument/2006/relationships/hyperlink" Id="rId95" Target="https://www.psc.org/membership-lists/" TargetMode="External" /><Relationship Type="http://schemas.openxmlformats.org/officeDocument/2006/relationships/hyperlink" Id="rId48" Target="https://www.psc.org/wp-content/uploads/wpfd/preview_files/The-Sociocultural-Significance-of-Salmon-to-Tribes-and-First-Nations(5da9942da9fb4fe0d77eb32bd6165e43).pdf" TargetMode="External" /><Relationship Type="http://schemas.openxmlformats.org/officeDocument/2006/relationships/hyperlink" Id="rId116" Target="https://www.psmfc.org/program/pit-tag-information-systems-ptagis" TargetMode="External" /><Relationship Type="http://schemas.openxmlformats.org/officeDocument/2006/relationships/hyperlink" Id="rId124" Target="https://www.rd-alliance.org/groups/salmon-research-and-monitoring-ig/" TargetMode="External" /><Relationship Type="http://schemas.openxmlformats.org/officeDocument/2006/relationships/hyperlink" Id="rId161"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64" Target="http://www.cohencommission.ca/" TargetMode="External" /><Relationship Type="http://schemas.openxmlformats.org/officeDocument/2006/relationships/hyperlink" Id="rId117" Target="https://api.ptagis.org/index.html#:~:text=PTAGIS%20API%20Gets%20a%20list,PTAGIS%20and%20currently%20contributing%20data" TargetMode="External" /><Relationship Type="http://schemas.openxmlformats.org/officeDocument/2006/relationships/hyperlink" Id="rId148" Target="https://blog.datacite.org/" TargetMode="External" /><Relationship Type="http://schemas.openxmlformats.org/officeDocument/2006/relationships/hyperlink" Id="rId165" Target="https://blog.okfn.org/" TargetMode="External" /><Relationship Type="http://schemas.openxmlformats.org/officeDocument/2006/relationships/hyperlink" Id="rId52" Target="https://books.google.ca/books?id=I_S0xCME0CYC" TargetMode="External" /><Relationship Type="http://schemas.openxmlformats.org/officeDocument/2006/relationships/hyperlink" Id="rId127" Target="https://br-johnson.github.io/sdm-paper/appendices/appendix-1-real-world-examples-preview.html#f74d3bc4-54eb-4715-971f-d77b337c50f9" TargetMode="External" /><Relationship Type="http://schemas.openxmlformats.org/officeDocument/2006/relationships/hyperlink" Id="rId167" Target="https://br-johnson.github.io/sdm-paper/appendices/appendix-2-training-roadmap-preview.html#718196ae-8a7f-4f9d-94a8-00b0045c1356" TargetMode="External" /><Relationship Type="http://schemas.openxmlformats.org/officeDocument/2006/relationships/hyperlink" Id="rId203" Target="https://br-johnson.github.io/sdm-paper/appendices/appendix-3-getting-started-checklist-preview.html#ed8748e7-1461-446c-a601-f2e142e8c505" TargetMode="External" /><Relationship Type="http://schemas.openxmlformats.org/officeDocument/2006/relationships/hyperlink" Id="rId105" Target="https://commons.datacite.org/ror.org/04901nj56" TargetMode="External" /><Relationship Type="http://schemas.openxmlformats.org/officeDocument/2006/relationships/hyperlink" Id="rId155" Target="https://creativecommons.org/licenses/by/4.0/" TargetMode="External" /><Relationship Type="http://schemas.openxmlformats.org/officeDocument/2006/relationships/hyperlink" Id="rId120" Target="https://creativecommons.org/licenses/by/4.0/deed.en" TargetMode="External" /><Relationship Type="http://schemas.openxmlformats.org/officeDocument/2006/relationships/hyperlink" Id="rId106" Target="https://data.npafc.org" TargetMode="External" /><Relationship Type="http://schemas.openxmlformats.org/officeDocument/2006/relationships/hyperlink" Id="rId100" Target="https://data.salmonwatersheds.ca/result?datasetid=2" TargetMode="External" /><Relationship Type="http://schemas.openxmlformats.org/officeDocument/2006/relationships/hyperlink" Id="rId145" Target="https://datacite.org" TargetMode="External" /><Relationship Type="http://schemas.openxmlformats.org/officeDocument/2006/relationships/hyperlink" Id="rId157" Target="https://datacite.org/service.html" TargetMode="External" /><Relationship Type="http://schemas.openxmlformats.org/officeDocument/2006/relationships/hyperlink" Id="rId137" Target="https://dmptool.org" TargetMode="External" /><Relationship Type="http://schemas.openxmlformats.org/officeDocument/2006/relationships/hyperlink" Id="rId93" Target="https://dmptool.org/public_templates?page=ALL" TargetMode="External" /><Relationship Type="http://schemas.openxmlformats.org/officeDocument/2006/relationships/hyperlink" Id="rId80" Target="https://doi.org/10.1007/s00267-014-0258-2" TargetMode="External" /><Relationship Type="http://schemas.openxmlformats.org/officeDocument/2006/relationships/hyperlink" Id="rId76" Target="https://doi.org/10.1016/c2012-0-07057-3" TargetMode="External" /><Relationship Type="http://schemas.openxmlformats.org/officeDocument/2006/relationships/hyperlink" Id="rId56" Target="https://doi.org/10.1038/s41559-023-02161-2" TargetMode="External" /><Relationship Type="http://schemas.openxmlformats.org/officeDocument/2006/relationships/hyperlink" Id="rId86" Target="https://doi.org/10.1038/sdata.2016.18" TargetMode="External" /><Relationship Type="http://schemas.openxmlformats.org/officeDocument/2006/relationships/hyperlink" Id="rId40" Target="https://doi.org/10.1093/icesjms/fsac099" TargetMode="External" /><Relationship Type="http://schemas.openxmlformats.org/officeDocument/2006/relationships/hyperlink" Id="rId82" Target="https://doi.org/10.1101/2025.03.14.643022" TargetMode="External" /><Relationship Type="http://schemas.openxmlformats.org/officeDocument/2006/relationships/hyperlink" Id="rId66" Target="https://doi.org/10.1108/jd-08-2018-0124" TargetMode="External" /><Relationship Type="http://schemas.openxmlformats.org/officeDocument/2006/relationships/hyperlink" Id="rId60" Target="https://doi.org/10.1111/j.1442-9993.2011.02351.x" TargetMode="External" /><Relationship Type="http://schemas.openxmlformats.org/officeDocument/2006/relationships/hyperlink" Id="rId37" Target="https://doi.org/10.1139/cjfas-2024-0387" TargetMode="External" /><Relationship Type="http://schemas.openxmlformats.org/officeDocument/2006/relationships/hyperlink" Id="rId74" Target="https://doi.org/10.1139/f2012-063" TargetMode="External" /><Relationship Type="http://schemas.openxmlformats.org/officeDocument/2006/relationships/hyperlink" Id="rId78" Target="https://doi.org/10.1139/facets-2020-0008" TargetMode="External" /><Relationship Type="http://schemas.openxmlformats.org/officeDocument/2006/relationships/hyperlink" Id="rId98" Target="https://doi.org/10.14286/duc6mu" TargetMode="External" /><Relationship Type="http://schemas.openxmlformats.org/officeDocument/2006/relationships/hyperlink" Id="rId68" Target="https://doi.org/10.17226/12017" TargetMode="External" /><Relationship Type="http://schemas.openxmlformats.org/officeDocument/2006/relationships/hyperlink" Id="rId58" Target="https://doi.org/10.23849/npafcb7/6a4ddpde4" TargetMode="External" /><Relationship Type="http://schemas.openxmlformats.org/officeDocument/2006/relationships/hyperlink" Id="rId46" Target="https://doi.org/10.23849/npafcb7/x3rlpo23a" TargetMode="External" /><Relationship Type="http://schemas.openxmlformats.org/officeDocument/2006/relationships/hyperlink" Id="rId84" Target="https://doi.org/10.3390/su5020478" TargetMode="External" /><Relationship Type="http://schemas.openxmlformats.org/officeDocument/2006/relationships/hyperlink" Id="rId99" Target="https://doi.org/10.5281/zenodo.14194638" TargetMode="External" /><Relationship Type="http://schemas.openxmlformats.org/officeDocument/2006/relationships/hyperlink" Id="rId72" Target="https://doi.org/10.5334/dsj-2018-015" TargetMode="External" /><Relationship Type="http://schemas.openxmlformats.org/officeDocument/2006/relationships/hyperlink" Id="rId44" Target="https://doi.org/10.5334/dsj-2019-031" TargetMode="External" /><Relationship Type="http://schemas.openxmlformats.org/officeDocument/2006/relationships/hyperlink" Id="rId42" Target="https://doi.org/10.5334/dsj-2020-043" TargetMode="External" /><Relationship Type="http://schemas.openxmlformats.org/officeDocument/2006/relationships/hyperlink" Id="rId54" Target="https://doi.org/10.5751/ES-12117-260226" TargetMode="External" /><Relationship Type="http://schemas.openxmlformats.org/officeDocument/2006/relationships/hyperlink" Id="rId109" Target="https://dwc.tdwg.org/" TargetMode="External" /><Relationship Type="http://schemas.openxmlformats.org/officeDocument/2006/relationships/hyperlink" Id="rId141" Target="https://eml.ecoinformatics.org/" TargetMode="External" /><Relationship Type="http://schemas.openxmlformats.org/officeDocument/2006/relationships/hyperlink" Id="rId150" Target="https://fastapi.tiangolo.com" TargetMode="External" /><Relationship Type="http://schemas.openxmlformats.org/officeDocument/2006/relationships/hyperlink" Id="rId94" Target="https://fisheriesservices.nwifc.org/" TargetMode="External" /><Relationship Type="http://schemas.openxmlformats.org/officeDocument/2006/relationships/hyperlink" Id="rId151" Target="https://flask.palletsprojects.com" TargetMode="External" /><Relationship Type="http://schemas.openxmlformats.org/officeDocument/2006/relationships/hyperlink" Id="rId153" Target="https://guides.github.com/activities/citable-code/" TargetMode="External" /><Relationship Type="http://schemas.openxmlformats.org/officeDocument/2006/relationships/hyperlink" Id="rId62" Target="https://localcontexts.org/" TargetMode="External" /><Relationship Type="http://schemas.openxmlformats.org/officeDocument/2006/relationships/hyperlink" Id="rId142" Target="https://marinedata.psf.ca" TargetMode="External" /><Relationship Type="http://schemas.openxmlformats.org/officeDocument/2006/relationships/hyperlink" Id="rId143" Target="https://obis.org/dataset/81a9b931-8f47-49c4-94ff-0e46d7e9f1c9" TargetMode="External" /><Relationship Type="http://schemas.openxmlformats.org/officeDocument/2006/relationships/hyperlink" Id="rId146" Target="https://orcid.org" TargetMode="External" /><Relationship Type="http://schemas.openxmlformats.org/officeDocument/2006/relationships/hyperlink" Id="rId103" Target="https://orcid.org/" TargetMode="External" /><Relationship Type="http://schemas.openxmlformats.org/officeDocument/2006/relationships/hyperlink" Id="rId125" Target="https://pnamp.org/event/workshop-fishing-for-clarity-knowledge-modeling-to-support-cross-organizational-collaboration-and-data-sharing-about-salmon-escapement/" TargetMode="External" /><Relationship Type="http://schemas.openxmlformats.org/officeDocument/2006/relationships/hyperlink" Id="rId50" Target="https://psc1.shinyapps.io/PSC_In_Season_Fraser/" TargetMode="External" /><Relationship Type="http://schemas.openxmlformats.org/officeDocument/2006/relationships/hyperlink" Id="rId92" Target="https://raw.githubusercontent.com/Br-Johnson/sdm-paper/refs/heads/main/examples/Cal_DMP.pdf" TargetMode="External" /><Relationship Type="http://schemas.openxmlformats.org/officeDocument/2006/relationships/hyperlink" Id="rId159" Target="https://rd-alliance.org/groups/salmon-data-management" TargetMode="External" /><Relationship Type="http://schemas.openxmlformats.org/officeDocument/2006/relationships/hyperlink" Id="rId132" Target="https://roadmap.sh" TargetMode="External" /><Relationship Type="http://schemas.openxmlformats.org/officeDocument/2006/relationships/hyperlink" Id="rId147" Target="https://ror.org" TargetMode="External" /><Relationship Type="http://schemas.openxmlformats.org/officeDocument/2006/relationships/hyperlink" Id="rId104" Target="https://ror.org/search?page=1&amp;query=salmon" TargetMode="External" /><Relationship Type="http://schemas.openxmlformats.org/officeDocument/2006/relationships/hyperlink" Id="rId126" Target="https://salmonprize.com" TargetMode="External" /><Relationship Type="http://schemas.openxmlformats.org/officeDocument/2006/relationships/hyperlink" Id="rId112" Target="https://wdfw.wa.gov/fishing/management/hatcheries/escapement#definitions" TargetMode="External" /><Relationship Type="http://schemas.openxmlformats.org/officeDocument/2006/relationships/hyperlink" Id="rId138" Target="https://www.atlassian.com/team-playbook/plays/daci" TargetMode="External" /><Relationship Type="http://schemas.openxmlformats.org/officeDocument/2006/relationships/hyperlink" Id="rId121" Target="https://www.countermetrics.org/" TargetMode="External" /><Relationship Type="http://schemas.openxmlformats.org/officeDocument/2006/relationships/hyperlink" Id="rId164" Target="https://www.coursera.org/learn/data-management" TargetMode="External" /><Relationship Type="http://schemas.openxmlformats.org/officeDocument/2006/relationships/hyperlink" Id="rId166" Target="https://www.dataone.org/resources/" TargetMode="External" /><Relationship Type="http://schemas.openxmlformats.org/officeDocument/2006/relationships/hyperlink" Id="rId152" Target="https://www.django-rest-framework.org" TargetMode="External" /><Relationship Type="http://schemas.openxmlformats.org/officeDocument/2006/relationships/hyperlink" Id="rId163" Target="https://www.fosteropenscience.eu/toolkit" TargetMode="External" /><Relationship Type="http://schemas.openxmlformats.org/officeDocument/2006/relationships/hyperlink" Id="rId113" Target="https://www.fpc.org/111_sharedfiles/ColumbiaRiverBasinAdultFishPassageCountsMetadata.pdf" TargetMode="External" /><Relationship Type="http://schemas.openxmlformats.org/officeDocument/2006/relationships/hyperlink" Id="rId110" Target="https://www.gbif.org/dataset/72de3af4-1572-4f2d-8006-2bfa2007065c" TargetMode="External" /><Relationship Type="http://schemas.openxmlformats.org/officeDocument/2006/relationships/hyperlink" Id="rId111" Target="https://www.gbif.org/dataset/search?project_id=IYS" TargetMode="External" /><Relationship Type="http://schemas.openxmlformats.org/officeDocument/2006/relationships/hyperlink" Id="rId134" Target="https://www.gida-global.org/care" TargetMode="External" /><Relationship Type="http://schemas.openxmlformats.org/officeDocument/2006/relationships/hyperlink" Id="rId133" Target="https://www.go-fair.org/fair-principles/" TargetMode="External" /><Relationship Type="http://schemas.openxmlformats.org/officeDocument/2006/relationships/hyperlink" Id="rId135" Target="https://www.go-fair.org/resources/videos/fair-principles-explained/" TargetMode="External" /><Relationship Type="http://schemas.openxmlformats.org/officeDocument/2006/relationships/hyperlink" Id="rId160" Target="https://www.interaction-design.org/literature/topics/user-centered-design" TargetMode="External" /><Relationship Type="http://schemas.openxmlformats.org/officeDocument/2006/relationships/hyperlink" Id="rId140" Target="https://www.iso.org/standard/53798.html" TargetMode="External" /><Relationship Type="http://schemas.openxmlformats.org/officeDocument/2006/relationships/hyperlink" Id="rId70" Target="https://www.noaa.gov/sites/default/files/2025-03/NAO_212-15B_-_Data_Management_Handbook.pdf" TargetMode="External" /><Relationship Type="http://schemas.openxmlformats.org/officeDocument/2006/relationships/hyperlink" Id="rId156" Target="https://www.projectcounter.org/" TargetMode="External" /><Relationship Type="http://schemas.openxmlformats.org/officeDocument/2006/relationships/hyperlink" Id="rId95" Target="https://www.psc.org/membership-lists/" TargetMode="External" /><Relationship Type="http://schemas.openxmlformats.org/officeDocument/2006/relationships/hyperlink" Id="rId48" Target="https://www.psc.org/wp-content/uploads/wpfd/preview_files/The-Sociocultural-Significance-of-Salmon-to-Tribes-and-First-Nations(5da9942da9fb4fe0d77eb32bd6165e43).pdf" TargetMode="External" /><Relationship Type="http://schemas.openxmlformats.org/officeDocument/2006/relationships/hyperlink" Id="rId116" Target="https://www.psmfc.org/program/pit-tag-information-systems-ptagis" TargetMode="External" /><Relationship Type="http://schemas.openxmlformats.org/officeDocument/2006/relationships/hyperlink" Id="rId124" Target="https://www.rd-alliance.org/groups/salmon-research-and-monitoring-ig/" TargetMode="External" /><Relationship Type="http://schemas.openxmlformats.org/officeDocument/2006/relationships/hyperlink" Id="rId161"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
  <dcterms:created xsi:type="dcterms:W3CDTF">2025-12-30T19:43:29Z</dcterms:created>
  <dcterms:modified xsi:type="dcterms:W3CDTF">2025-12-30T19:43:29Z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DRAFT A Blueprint for Domain-Specific Best Practices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